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rm-20260930.htm"/>
      <w:bookmarkStart w:id="1" w:name="ksvrm2026093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VROOM,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90-1112566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4700 Mercantile Dr.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Fort Worth,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76137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(518)</w:t>
            </w:r>
            <w:r>
              <w:rPr>
                <w:rFonts w:ascii="Times New Roman" w:hAnsi="Times New Roman"/>
                <w:color w:val="000000"/>
                <w:sz w:val="20"/>
              </w:rPr>
              <w:t xml:space="preserve"> </w:t>
            </w:r>
            <w:r>
              <w:rPr>
                <w:rFonts w:ascii="Times New Roman" w:hAnsi="Times New Roman"/>
                <w:b/>
                <w:color w:val="000000"/>
                <w:sz w:val="20"/>
              </w:rPr>
              <w:t>535-9125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both"/>
        <w:rPr>
          <w:rFonts w:ascii="Times New Roman" w:hAnsi="Times New Roman"/>
          <w:color w:val="000000"/>
          <w:sz w:val="22"/>
        </w:rPr>
      </w:pPr>
      <w:r>
        <w:rPr>
          <w:rFonts w:ascii="Times New Roman" w:hAnsi="Times New Roman"/>
          <w:color w:val="000000"/>
          <w:sz w:val="22"/>
        </w:rPr>
        <w:t>Item 1.01 Entry into a Material Definitive Agreement.</w:t>
      </w:r>
    </w:p>
    <w:p>
      <w:pPr>
        <w:pStyle w:val="TextBody"/>
        <w:bidi w:val="0"/>
        <w:spacing w:before="0" w:after="160"/>
        <w:jc w:val="both"/>
        <w:rPr>
          <w:rFonts w:ascii="Times New Roman" w:hAnsi="Times New Roman"/>
          <w:sz w:val="22"/>
        </w:rPr>
      </w:pPr>
      <w:r>
        <w:rPr>
          <w:rFonts w:ascii="Times New Roman" w:hAnsi="Times New Roman"/>
          <w:color w:val="000000"/>
          <w:sz w:val="22"/>
        </w:rPr>
        <w:t>On September 30, 2026, Vroom Automotive, LLC (“</w:t>
      </w:r>
      <w:r>
        <w:rPr>
          <w:rFonts w:ascii="Times New Roman" w:hAnsi="Times New Roman"/>
          <w:b/>
          <w:color w:val="000000"/>
          <w:sz w:val="22"/>
        </w:rPr>
        <w:t>Vroom Automotive</w:t>
      </w:r>
      <w:r>
        <w:rPr>
          <w:rFonts w:ascii="Times New Roman" w:hAnsi="Times New Roman"/>
          <w:color w:val="000000"/>
          <w:sz w:val="22"/>
        </w:rPr>
        <w:t>”), a Delaware limited liability company and a subsidiary of Vroom, Inc. (the “</w:t>
      </w:r>
      <w:r>
        <w:rPr>
          <w:rFonts w:ascii="Times New Roman" w:hAnsi="Times New Roman"/>
          <w:b/>
          <w:color w:val="000000"/>
          <w:sz w:val="22"/>
        </w:rPr>
        <w:t>Company</w:t>
      </w:r>
      <w:r>
        <w:rPr>
          <w:rFonts w:ascii="Times New Roman" w:hAnsi="Times New Roman"/>
          <w:color w:val="000000"/>
          <w:sz w:val="22"/>
        </w:rPr>
        <w:t>”) holding intellectual property licenses and other financial assets, issued to SPE Holdings 2026-1, a Delaware statutory trust (“</w:t>
      </w:r>
      <w:r>
        <w:rPr>
          <w:rFonts w:ascii="Times New Roman" w:hAnsi="Times New Roman"/>
          <w:b/>
          <w:color w:val="000000"/>
          <w:sz w:val="22"/>
        </w:rPr>
        <w:t>SPE Holdings</w:t>
      </w:r>
      <w:r>
        <w:rPr>
          <w:rFonts w:ascii="Times New Roman" w:hAnsi="Times New Roman"/>
          <w:color w:val="000000"/>
          <w:sz w:val="22"/>
        </w:rPr>
        <w:t>”), 16,000 newly issued Series A1 preferred units (the “</w:t>
      </w:r>
      <w:r>
        <w:rPr>
          <w:rFonts w:ascii="Times New Roman" w:hAnsi="Times New Roman"/>
          <w:b/>
          <w:color w:val="000000"/>
          <w:sz w:val="22"/>
        </w:rPr>
        <w:t>Series A1 Preferred Units</w:t>
      </w:r>
      <w:r>
        <w:rPr>
          <w:rFonts w:ascii="Times New Roman" w:hAnsi="Times New Roman"/>
          <w:color w:val="000000"/>
          <w:sz w:val="22"/>
        </w:rPr>
        <w:t>”) and 4,000 newly issued Series B1 preferred units (the “</w:t>
      </w:r>
      <w:r>
        <w:rPr>
          <w:rFonts w:ascii="Times New Roman" w:hAnsi="Times New Roman"/>
          <w:b/>
          <w:color w:val="000000"/>
          <w:sz w:val="22"/>
        </w:rPr>
        <w:t>Series B1 Preferred Units</w:t>
      </w:r>
      <w:r>
        <w:rPr>
          <w:rFonts w:ascii="Times New Roman" w:hAnsi="Times New Roman"/>
          <w:color w:val="000000"/>
          <w:sz w:val="22"/>
        </w:rPr>
        <w:t>” and together with the Series A1 Preferred Units, the “</w:t>
      </w:r>
      <w:r>
        <w:rPr>
          <w:rFonts w:ascii="Times New Roman" w:hAnsi="Times New Roman"/>
          <w:b/>
          <w:color w:val="000000"/>
          <w:sz w:val="22"/>
        </w:rPr>
        <w:t>Vroom Automotive Preferred Units</w:t>
      </w:r>
      <w:r>
        <w:rPr>
          <w:rFonts w:ascii="Times New Roman" w:hAnsi="Times New Roman"/>
          <w:color w:val="000000"/>
          <w:sz w:val="22"/>
        </w:rPr>
        <w:t>”) for aggregate gross proceeds of $20,000,000. The Vroom Automotive Preferred Units are being issued pursuant to a Preferred Unit Purchase Agreement (the “</w:t>
      </w:r>
      <w:r>
        <w:rPr>
          <w:rFonts w:ascii="Times New Roman" w:hAnsi="Times New Roman"/>
          <w:b/>
          <w:color w:val="000000"/>
          <w:sz w:val="22"/>
        </w:rPr>
        <w:t>Agreement</w:t>
      </w:r>
      <w:r>
        <w:rPr>
          <w:rFonts w:ascii="Times New Roman" w:hAnsi="Times New Roman"/>
          <w:color w:val="000000"/>
          <w:sz w:val="22"/>
        </w:rPr>
        <w:t>”), dated as of September 30, 2026, by and among the Company, Vroom Automotive and SPE Holdings, and Vroom Automotive’s Third Amended and Restated Limited Liability Company Agreement (the “</w:t>
      </w:r>
      <w:r>
        <w:rPr>
          <w:rFonts w:ascii="Times New Roman" w:hAnsi="Times New Roman"/>
          <w:b/>
          <w:color w:val="000000"/>
          <w:sz w:val="22"/>
        </w:rPr>
        <w:t>A&amp;R LLC Agreement</w:t>
      </w:r>
      <w:r>
        <w:rPr>
          <w:rFonts w:ascii="Times New Roman" w:hAnsi="Times New Roman"/>
          <w:color w:val="000000"/>
          <w:sz w:val="22"/>
        </w:rPr>
        <w:t>”), dated as of September 30, 2026, which amends and restates the existing LLC agreement and establishes the terms of the Vroom Automotive Preferred Units.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The Vroom Automotive Preferred Units will be entitled to receive a quarterly preferential distribution, equal to the liquidation preference of such Vroom Automotive Preferred Units multiplied by a variable distribution rate, which will reset on each quarterly distribution date in an amount equal to the ninety (90) day average of the Secured Overnight Financing Rate (SOFR) plus a spread of 8.50% for Series A1 Preferred Units and 9.25% for Series B1 Preferred Units. The Series B1 Preferred Units are convertible into common units of Vroom Automotive at the option of SPE Holdings at any time. The Series A1 Preferred Units are not convertible.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Vroom Automotive expects to use the proceeds from the transaction to repay certain obligations and to purchase residual interests in certain asset-backed securitization trusts.</w:t>
      </w:r>
    </w:p>
    <w:p>
      <w:pPr>
        <w:pStyle w:val="TextBody"/>
        <w:bidi w:val="0"/>
        <w:spacing w:before="0" w:after="160"/>
        <w:jc w:val="both"/>
        <w:rPr>
          <w:rFonts w:ascii="Times New Roman" w:hAnsi="Times New Roman"/>
          <w:sz w:val="22"/>
        </w:rPr>
      </w:pPr>
      <w:r>
        <w:rPr>
          <w:rFonts w:ascii="Times New Roman" w:hAnsi="Times New Roman"/>
          <w:color w:val="000000"/>
          <w:sz w:val="22"/>
        </w:rPr>
        <w:t>The foregoing descriptions of the Agreement and the A&amp;R LLC Agreement do not purport to be complete and are subject to, and qualified in their entirety by, the full text of the Agreement and the A&amp;R LLC Agreement, which are filed as exhibits 10.1 and 10.2 to this Current Report on Form 8-K (“</w:t>
      </w:r>
      <w:r>
        <w:rPr>
          <w:rFonts w:ascii="Times New Roman" w:hAnsi="Times New Roman"/>
          <w:b/>
          <w:color w:val="000000"/>
          <w:sz w:val="22"/>
        </w:rPr>
        <w:t>Current Report</w:t>
      </w:r>
      <w:r>
        <w:rPr>
          <w:rFonts w:ascii="Times New Roman" w:hAnsi="Times New Roman"/>
          <w:color w:val="000000"/>
          <w:sz w:val="22"/>
        </w:rPr>
        <w:t>”), respectively, and incorporated herein by reference.</w:t>
      </w:r>
    </w:p>
    <w:p>
      <w:pPr>
        <w:pStyle w:val="TextBody"/>
        <w:bidi w:val="0"/>
        <w:spacing w:before="0" w:after="160"/>
        <w:jc w:val="both"/>
        <w:rPr/>
      </w:pPr>
      <w:r>
        <w:rPr/>
        <w:t> </w:t>
      </w:r>
    </w:p>
    <w:p>
      <w:pPr>
        <w:pStyle w:val="TextBody"/>
        <w:bidi w:val="0"/>
        <w:spacing w:before="0" w:after="160"/>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benefits of and expected use of proceeds from the transaction discussed above, and the timing of the foregoing. These statements are based on management’s current assumptions and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that our Long-Term Strategic Plan may not be successful, and may not lead to growth and enhanced profitability. For other factors that could cause actual results to differ materially from the forward-looking statements in this Current Report on Form 8-K, please see the risks and uncertainties identified under the heading “Risk Factors” in our Annual Report on Form 10-K for the year ended December 31, 2025, which is available on our Investor Relations website at ir.vroom.com and on the SEC website at www.sec.gov. All forward-looking statements reflect our beliefs and assumptions only as of the date of this Current Report. We undertake no obligation to update forward-looking statements to reflect future events or circumstances.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9.01 Financial Statements and Exhibits.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862"/>
        <w:gridCol w:w="146"/>
        <w:gridCol w:w="9197"/>
      </w:tblGrid>
      <w:tr>
        <w:trPr/>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7" w:type="dxa"/>
            <w:tcBorders/>
            <w:vAlign w:val="center"/>
          </w:tcPr>
          <w:p>
            <w:pPr>
              <w:pStyle w:val="TableContents"/>
              <w:bidi w:val="0"/>
              <w:spacing w:before="0" w:after="283"/>
              <w:jc w:val="left"/>
              <w:rPr>
                <w:sz w:val="4"/>
                <w:szCs w:val="4"/>
              </w:rPr>
            </w:pPr>
            <w:r>
              <w:rPr>
                <w:sz w:val="4"/>
                <w:szCs w:val="4"/>
              </w:rPr>
            </w:r>
          </w:p>
        </w:tc>
      </w:tr>
      <w:tr>
        <w:trPr/>
        <w:tc>
          <w:tcPr>
            <w:tcW w:w="862"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7"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1.htm">
              <w:r>
                <w:rPr>
                  <w:rStyle w:val="InternetLink"/>
                  <w:rFonts w:ascii="Times New Roman" w:hAnsi="Times New Roman"/>
                  <w:color w:val="0000FF"/>
                  <w:sz w:val="20"/>
                  <w:u w:val="single"/>
                </w:rPr>
                <w:t>Preferred Unit Purchase Agreement, dated as of September 30, 2026, by and among the Company, Vroom Automotive, LLC, and SPE Holdings 2026-1</w:t>
              </w:r>
            </w:hyperlink>
          </w:p>
        </w:tc>
      </w:tr>
      <w:tr>
        <w:trPr/>
        <w:tc>
          <w:tcPr>
            <w:tcW w:w="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2.htm">
              <w:r>
                <w:rPr>
                  <w:rStyle w:val="InternetLink"/>
                  <w:rFonts w:ascii="Times New Roman" w:hAnsi="Times New Roman"/>
                  <w:color w:val="0000FF"/>
                  <w:sz w:val="20"/>
                  <w:u w:val="single"/>
                </w:rPr>
                <w:t>Third Amended and Restated Limited Liability Company Agreement of Vroom Automotive LLC, dated as of September 30, 2026</w:t>
              </w:r>
            </w:hyperlink>
          </w:p>
        </w:tc>
      </w:tr>
      <w:tr>
        <w:trPr/>
        <w:tc>
          <w:tcPr>
            <w:tcW w:w="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(indicated by "[***]") have been omitted pursuant to Regulation S-K, Item (601)(b)(10).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99" w:type="dxa"/>
        <w:jc w:val="left"/>
        <w:tblInd w:w="0" w:type="dxa"/>
        <w:tblLayout w:type="fixed"/>
        <w:tblCellMar>
          <w:top w:w="28" w:type="dxa"/>
          <w:left w:w="28" w:type="dxa"/>
          <w:bottom w:w="28" w:type="dxa"/>
          <w:right w:w="28" w:type="dxa"/>
        </w:tblCellMar>
      </w:tblPr>
      <w:tblGrid>
        <w:gridCol w:w="556"/>
        <w:gridCol w:w="1726"/>
        <w:gridCol w:w="451"/>
        <w:gridCol w:w="256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VROOM,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Shortt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Thomas Shortt</w:t>
              <w:b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2" w:name="vrm-ex10_1.htm"/>
      <w:bookmarkStart w:id="3" w:name="ksvrmex10_1"/>
      <w:bookmarkEnd w:id="2"/>
      <w:bookmarkEnd w:id="3"/>
      <w:r>
        <w:rPr>
          <w:rFonts w:ascii="Times New Roman" w:hAnsi="Times New Roman"/>
          <w:b/>
          <w:i/>
          <w:color w:val="000000"/>
          <w:sz w:val="24"/>
        </w:rPr>
        <w:t>Execution Version</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PREFERRED UNIT PURCHASE AGREEMENT</w:t>
      </w:r>
    </w:p>
    <w:p>
      <w:pPr>
        <w:pStyle w:val="TextBody"/>
        <w:bidi w:val="0"/>
        <w:spacing w:before="0" w:after="240"/>
        <w:jc w:val="both"/>
        <w:rPr>
          <w:rFonts w:ascii="Times New Roman" w:hAnsi="Times New Roman"/>
          <w:sz w:val="24"/>
        </w:rPr>
      </w:pPr>
      <w:r>
        <w:rPr>
          <w:rFonts w:ascii="Times New Roman" w:hAnsi="Times New Roman"/>
          <w:color w:val="000000"/>
          <w:sz w:val="24"/>
        </w:rPr>
        <w:t>This PREFERRED UNIT PURCHASE AGREEMENT (this “</w:t>
      </w:r>
      <w:r>
        <w:rPr>
          <w:rFonts w:ascii="Times New Roman" w:hAnsi="Times New Roman"/>
          <w:b/>
          <w:i/>
          <w:color w:val="000000"/>
          <w:sz w:val="24"/>
        </w:rPr>
        <w:t>Agreement</w:t>
      </w:r>
      <w:r>
        <w:rPr>
          <w:rFonts w:ascii="Times New Roman" w:hAnsi="Times New Roman"/>
          <w:color w:val="000000"/>
          <w:sz w:val="24"/>
        </w:rPr>
        <w:t>”), is made as of September 30, 2026, by and among Vroom Automotive, LLC, a Delaware limited liability company (the “</w:t>
      </w:r>
      <w:r>
        <w:rPr>
          <w:rFonts w:ascii="Times New Roman" w:hAnsi="Times New Roman"/>
          <w:b/>
          <w:i/>
          <w:color w:val="000000"/>
          <w:sz w:val="24"/>
        </w:rPr>
        <w:t>Company</w:t>
      </w:r>
      <w:r>
        <w:rPr>
          <w:rFonts w:ascii="Times New Roman" w:hAnsi="Times New Roman"/>
          <w:color w:val="000000"/>
          <w:sz w:val="24"/>
        </w:rPr>
        <w:t>”), SPE Holdings 2026-1, a Delaware statutory trust (the “</w:t>
      </w:r>
      <w:r>
        <w:rPr>
          <w:rFonts w:ascii="Times New Roman" w:hAnsi="Times New Roman"/>
          <w:b/>
          <w:i/>
          <w:color w:val="000000"/>
          <w:sz w:val="24"/>
        </w:rPr>
        <w:t>Purchaser</w:t>
      </w:r>
      <w:r>
        <w:rPr>
          <w:rFonts w:ascii="Times New Roman" w:hAnsi="Times New Roman"/>
          <w:color w:val="000000"/>
          <w:sz w:val="24"/>
        </w:rPr>
        <w:t>”), and solely for the purposes set forth herein, Vroom, Inc., a Delaware corporation (“</w:t>
      </w:r>
      <w:r>
        <w:rPr>
          <w:rFonts w:ascii="Times New Roman" w:hAnsi="Times New Roman"/>
          <w:b/>
          <w:i/>
          <w:color w:val="000000"/>
          <w:sz w:val="24"/>
        </w:rPr>
        <w:t>Vroom Parent</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the Company desires to sell and issue to the Purchaser, and the Purchaser desires to subscribe and purchase from the Company, up to 20,000 Preferred Units (as defined below), consisting of (a) 16,000 Series A1 Preferred Units, and (b) 4,000 Series B1 Preferred Units (collectively, the “</w:t>
      </w:r>
      <w:r>
        <w:rPr>
          <w:rFonts w:ascii="Times New Roman" w:hAnsi="Times New Roman"/>
          <w:b/>
          <w:i/>
          <w:color w:val="000000"/>
          <w:sz w:val="24"/>
        </w:rPr>
        <w:t>Units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mutual covenants set forth herein, and for other good and valuable consideration, the receipt and sufficiency of which are acknowledged, the Company and the Purchaser hereby agree as follows: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Purchase and Sale; Closing; Origination Fee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Purchase and Sale of the Units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shall, on or prior to the Closing, adopt the Third Amended and Restated Limited Liability Company Agreement of the Company, in the form of </w:t>
      </w:r>
      <w:r>
        <w:rPr>
          <w:rFonts w:ascii="Times New Roman" w:hAnsi="Times New Roman"/>
          <w:color w:val="000000"/>
          <w:sz w:val="24"/>
          <w:u w:val="single"/>
        </w:rPr>
        <w:t>Exhibit A</w:t>
      </w:r>
      <w:r>
        <w:rPr>
          <w:rFonts w:ascii="Times New Roman" w:hAnsi="Times New Roman"/>
          <w:color w:val="000000"/>
          <w:sz w:val="24"/>
        </w:rPr>
        <w:t xml:space="preserve"> attached to this Agreement (the “</w:t>
      </w:r>
      <w:r>
        <w:rPr>
          <w:rFonts w:ascii="Times New Roman" w:hAnsi="Times New Roman"/>
          <w:b/>
          <w:i/>
          <w:color w:val="000000"/>
          <w:sz w:val="24"/>
        </w:rPr>
        <w:t>Restated Company Agreement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Subject to the terms and conditions of this Agreement, at the Closing (as defined below), the Purchaser agrees to subscribe for and purchase from the Company, and the Company agrees to sell and issue to the Purchaser, (i) 16,000 Series A1 Preferred Units, and (ii) 4,000 Series B1 Preferred Units, in each case, at a purchase price of $1,000 per Unit. The aggregate purchase price for all such Units shall therefore be equal to $20,000,000 (the “</w:t>
      </w:r>
      <w:r>
        <w:rPr>
          <w:rFonts w:ascii="Times New Roman" w:hAnsi="Times New Roman"/>
          <w:b/>
          <w:i/>
          <w:color w:val="000000"/>
          <w:sz w:val="24"/>
        </w:rPr>
        <w:t>Purchase Price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Closing; Delivery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The purchase and sale of the Units shall take place remotely via the electronic exchange of documents and signatures on the date of this Agreement, at such time as is mutually agreed upon by the Company and the Purchaser (the consummation of such purchase and sale being designated as the “</w:t>
      </w:r>
      <w:r>
        <w:rPr>
          <w:rFonts w:ascii="Times New Roman" w:hAnsi="Times New Roman"/>
          <w:b/>
          <w:i/>
          <w:color w:val="000000"/>
          <w:sz w:val="24"/>
        </w:rPr>
        <w:t>Closing</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At the Closing, (i) the Purchaser shall pay, or shall cause an Affiliate to pay, to the Company, by wire transfer of immediately available funds to a bank account designated in writing by the Company prior to the Closing, an amount equal to (x) the Purchase Price </w:t>
      </w:r>
      <w:r>
        <w:rPr>
          <w:rFonts w:ascii="Times New Roman" w:hAnsi="Times New Roman"/>
          <w:i/>
          <w:color w:val="000000"/>
          <w:sz w:val="24"/>
        </w:rPr>
        <w:t>less</w:t>
      </w:r>
      <w:r>
        <w:rPr>
          <w:rFonts w:ascii="Times New Roman" w:hAnsi="Times New Roman"/>
          <w:color w:val="000000"/>
          <w:sz w:val="24"/>
        </w:rPr>
        <w:t xml:space="preserve"> (y) the Origination Fee </w:t>
      </w:r>
      <w:r>
        <w:rPr>
          <w:rFonts w:ascii="Times New Roman" w:hAnsi="Times New Roman"/>
          <w:i/>
          <w:color w:val="000000"/>
          <w:sz w:val="24"/>
        </w:rPr>
        <w:t>less</w:t>
      </w:r>
      <w:r>
        <w:rPr>
          <w:rFonts w:ascii="Times New Roman" w:hAnsi="Times New Roman"/>
          <w:color w:val="000000"/>
          <w:sz w:val="24"/>
        </w:rPr>
        <w:t xml:space="preserve"> (z) the Reimbursable Expenses, and (ii) the Company shall (x) sell and issue to the Purchaser the number of Units contemplated in </w:t>
      </w:r>
      <w:r>
        <w:rPr>
          <w:rFonts w:ascii="Times New Roman" w:hAnsi="Times New Roman"/>
          <w:color w:val="000000"/>
          <w:sz w:val="24"/>
          <w:u w:val="single"/>
        </w:rPr>
        <w:t>Section 1.1(b)</w:t>
      </w:r>
      <w:r>
        <w:rPr>
          <w:rFonts w:ascii="Times New Roman" w:hAnsi="Times New Roman"/>
          <w:color w:val="000000"/>
          <w:sz w:val="24"/>
        </w:rPr>
        <w:t xml:space="preserve">, and (y) execute and deliver to the Purchaser the physical membership certificates contemplated in </w:t>
      </w:r>
      <w:r>
        <w:rPr>
          <w:rFonts w:ascii="Times New Roman" w:hAnsi="Times New Roman"/>
          <w:color w:val="000000"/>
          <w:sz w:val="24"/>
          <w:u w:val="single"/>
        </w:rPr>
        <w:t>Section 4.11</w:t>
      </w:r>
      <w:r>
        <w:rPr>
          <w:rFonts w:ascii="Times New Roman" w:hAnsi="Times New Roman"/>
          <w:color w:val="000000"/>
          <w:sz w:val="24"/>
        </w:rPr>
        <w:t>. Notwithstanding the foregoing clause (i), the Company and the Purchaser hereby agree that the Purchase Price shall be treated as having been paid by the Purchaser to the Company in full.</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Origination Fee</w:t>
      </w:r>
      <w:r>
        <w:rPr>
          <w:rFonts w:ascii="Times New Roman" w:hAnsi="Times New Roman"/>
          <w:color w:val="000000"/>
          <w:sz w:val="24"/>
        </w:rPr>
        <w:t>. In connection with the transactions contemplated by this Agreement, the Company shall pay to the Purchaser a fully earned and non-refundable origination fee of [***] (the “</w:t>
      </w:r>
      <w:r>
        <w:rPr>
          <w:rFonts w:ascii="Times New Roman" w:hAnsi="Times New Roman"/>
          <w:b/>
          <w:i/>
          <w:color w:val="000000"/>
          <w:sz w:val="24"/>
        </w:rPr>
        <w:t>Origination Fee</w:t>
      </w:r>
      <w:r>
        <w:rPr>
          <w:rFonts w:ascii="Times New Roman" w:hAnsi="Times New Roman"/>
          <w:color w:val="000000"/>
          <w:sz w:val="24"/>
        </w:rPr>
        <w:t>”), due and payable upon the date of this Agreement. For administrative convenience, the Company and the Purchaser hereby agree that the Origination Fee shall be deducted from the Purchase Price at the Closing (but shall otherwise be treated as having been paid by the Company to the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UACC Loan Prepayment; Use of Proceeds</w:t>
      </w:r>
      <w:r>
        <w:rPr>
          <w:rFonts w:ascii="Times New Roman" w:hAnsi="Times New Roman"/>
          <w:color w:val="000000"/>
          <w:sz w:val="24"/>
        </w:rPr>
        <w:t>. Pursuant to the terms and conditions of the Residual Interest Purchase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simultaneously with the Closing, UACC shall prepay a portion of the UACC Loan in an amount equal to (i) the Residual Interest Purchase Price </w:t>
      </w:r>
      <w:r>
        <w:rPr>
          <w:rFonts w:ascii="Times New Roman" w:hAnsi="Times New Roman"/>
          <w:i/>
          <w:color w:val="000000"/>
          <w:sz w:val="24"/>
          <w:u w:val="single"/>
        </w:rPr>
        <w:t>less</w:t>
      </w:r>
      <w:r>
        <w:rPr>
          <w:rFonts w:ascii="Times New Roman" w:hAnsi="Times New Roman"/>
          <w:color w:val="000000"/>
          <w:sz w:val="24"/>
        </w:rPr>
        <w:t xml:space="preserve"> (ii) the Proceeds (such amount, the “</w:t>
      </w:r>
      <w:r>
        <w:rPr>
          <w:rFonts w:ascii="Times New Roman" w:hAnsi="Times New Roman"/>
          <w:b/>
          <w:i/>
          <w:color w:val="000000"/>
          <w:sz w:val="24"/>
        </w:rPr>
        <w:t>UACC Prepayment Amount</w:t>
      </w:r>
      <w:r>
        <w:rPr>
          <w:rFonts w:ascii="Times New Roman" w:hAnsi="Times New Roman"/>
          <w:color w:val="000000"/>
          <w:sz w:val="24"/>
        </w:rPr>
        <w:t xml:space="preserve">”);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immediately after the Closing, the Company shall use all of the proceeds it receives at the Closing pursuant to </w:t>
      </w:r>
      <w:r>
        <w:rPr>
          <w:rFonts w:ascii="Times New Roman" w:hAnsi="Times New Roman"/>
          <w:color w:val="000000"/>
          <w:sz w:val="24"/>
          <w:u w:val="single"/>
        </w:rPr>
        <w:t>Section 1.2(c)(i)</w:t>
      </w:r>
      <w:r>
        <w:rPr>
          <w:rFonts w:ascii="Times New Roman" w:hAnsi="Times New Roman"/>
          <w:color w:val="000000"/>
          <w:sz w:val="24"/>
        </w:rPr>
        <w:t xml:space="preserve"> (the “</w:t>
      </w:r>
      <w:r>
        <w:rPr>
          <w:rFonts w:ascii="Times New Roman" w:hAnsi="Times New Roman"/>
          <w:b/>
          <w:i/>
          <w:color w:val="000000"/>
          <w:sz w:val="24"/>
        </w:rPr>
        <w:t>Proceeds</w:t>
      </w:r>
      <w:r>
        <w:rPr>
          <w:rFonts w:ascii="Times New Roman" w:hAnsi="Times New Roman"/>
          <w:color w:val="000000"/>
          <w:sz w:val="24"/>
        </w:rPr>
        <w:t xml:space="preserve">”) </w:t>
      </w:r>
      <w:r>
        <w:rPr>
          <w:rFonts w:ascii="Times New Roman" w:hAnsi="Times New Roman"/>
          <w:i/>
          <w:color w:val="000000"/>
          <w:sz w:val="24"/>
          <w:u w:val="single"/>
        </w:rPr>
        <w:t>plus</w:t>
      </w:r>
      <w:r>
        <w:rPr>
          <w:rFonts w:ascii="Times New Roman" w:hAnsi="Times New Roman"/>
          <w:color w:val="000000"/>
          <w:sz w:val="24"/>
        </w:rPr>
        <w:t xml:space="preserve"> the UACC Prepayment Amount to purchase from UACC (or one or more of its Affiliates, including United Auto Credit Financing) (i) [***] of the Residual Interests in UACST 2024-1 for [***], and (ii) [***] of the Residual Interests in UACST 2026-1 for [***] (the collective purchase price for both of such Residual Interests, the “</w:t>
      </w:r>
      <w:r>
        <w:rPr>
          <w:rFonts w:ascii="Times New Roman" w:hAnsi="Times New Roman"/>
          <w:b/>
          <w:i/>
          <w:color w:val="000000"/>
          <w:sz w:val="24"/>
        </w:rPr>
        <w:t>Residual Interest Purchase Price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Defined Terms Used in this Agreement</w:t>
      </w:r>
      <w:r>
        <w:rPr>
          <w:rFonts w:ascii="Times New Roman" w:hAnsi="Times New Roman"/>
          <w:color w:val="000000"/>
          <w:sz w:val="24"/>
        </w:rPr>
        <w:t>. In addition to the terms defined elsewhere in this Agreement, the following terms used in this Agreement shall be construed to have the meanings set forth or referenced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4"/>
        </w:rPr>
        <w:t>” means, with respect to any specified Person, any other Person who, directly or indirectly, controls, is controlled by, or is under common control with such Person, including, without limitation, any general partner, managing member, officer or director of such Person. For the avoidance of doubt, (a) UMB Bank, N.A., a national banking association, and UMB Delaware Inc., a Delaware limited purpose trust company, shall not be Affiliates of the Purchaser, and (b) the Company is directly or indirectly controlled by, and is an Affiliate of, Vroom Parent and Vroom Finance Holdings, LLC, a Delaware limited liability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Amended and Restated</w:t>
      </w:r>
      <w:r>
        <w:rPr>
          <w:rFonts w:ascii="Times New Roman" w:hAnsi="Times New Roman"/>
          <w:color w:val="000000"/>
          <w:sz w:val="24"/>
        </w:rPr>
        <w:t xml:space="preserve"> </w:t>
      </w:r>
      <w:r>
        <w:rPr>
          <w:rFonts w:ascii="Times New Roman" w:hAnsi="Times New Roman"/>
          <w:b/>
          <w:i/>
          <w:color w:val="000000"/>
          <w:sz w:val="24"/>
        </w:rPr>
        <w:t>Letter Agreement</w:t>
      </w:r>
      <w:r>
        <w:rPr>
          <w:rFonts w:ascii="Times New Roman" w:hAnsi="Times New Roman"/>
          <w:color w:val="000000"/>
          <w:sz w:val="24"/>
        </w:rPr>
        <w:t>” means that certain Amended and Restated Letter Agreement, to be entered into at or prior to the Closing, by and among the Company, the Purchaser, Vroom Parent and Mudrick Capital Management, L.P., a Delaware limited partnership.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i/>
          <w:color w:val="000000"/>
          <w:sz w:val="24"/>
        </w:rPr>
        <w:t>Code</w:t>
      </w:r>
      <w:r>
        <w:rPr>
          <w:rFonts w:ascii="Times New Roman" w:hAnsi="Times New Roman"/>
          <w:color w:val="000000"/>
          <w:sz w:val="24"/>
        </w:rPr>
        <w:t>” means the Internal Revenue Code of 1986,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i/>
          <w:color w:val="000000"/>
          <w:sz w:val="24"/>
        </w:rPr>
        <w:t>Company Covered Person</w:t>
      </w:r>
      <w:r>
        <w:rPr>
          <w:rFonts w:ascii="Times New Roman" w:hAnsi="Times New Roman"/>
          <w:color w:val="000000"/>
          <w:sz w:val="24"/>
        </w:rPr>
        <w:t>” means, with respect to the Company as an “issuer” for purposes of Rule 506 promulgated under the Securities Act, any Person listed in the first paragraph of Rule 506(d)(1).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i/>
          <w:color w:val="000000"/>
          <w:sz w:val="24"/>
        </w:rPr>
        <w:t>Custody Agreement</w:t>
      </w:r>
      <w:r>
        <w:rPr>
          <w:rFonts w:ascii="Times New Roman" w:hAnsi="Times New Roman"/>
          <w:color w:val="000000"/>
          <w:sz w:val="24"/>
        </w:rPr>
        <w:t>” means that certain Custody Agreement, dated as of January 16, 2026, by and between the Company and Computershare Trust Company, N.A.</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i/>
          <w:color w:val="000000"/>
          <w:sz w:val="24"/>
        </w:rPr>
        <w:t>Distribution and Contribution Agreement</w:t>
      </w:r>
      <w:r>
        <w:rPr>
          <w:rFonts w:ascii="Times New Roman" w:hAnsi="Times New Roman"/>
          <w:color w:val="000000"/>
          <w:sz w:val="24"/>
        </w:rPr>
        <w:t xml:space="preserve">” means that certain Distribution and Contribution Agreement, dated as of January 16, 2026, by and among United Auto Credit Financing, UACC, Vroom Automotive Finance Corporation, a California corporation, Vroom Finance Corporation, a Delaware corporation, Vroom Finance Holdings, LLC, a Delaware limited liability company, and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i/>
          <w:color w:val="000000"/>
          <w:sz w:val="24"/>
        </w:rPr>
        <w:t>ERISA</w:t>
      </w:r>
      <w:r>
        <w:rPr>
          <w:rFonts w:ascii="Times New Roman" w:hAnsi="Times New Roman"/>
          <w:color w:val="000000"/>
          <w:sz w:val="24"/>
        </w:rPr>
        <w:t>” means the Employee Retirement Income Security Act of 1974,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i/>
          <w:color w:val="000000"/>
          <w:sz w:val="24"/>
        </w:rPr>
        <w:t>Guarantee</w:t>
      </w:r>
      <w:r>
        <w:rPr>
          <w:rFonts w:ascii="Times New Roman" w:hAnsi="Times New Roman"/>
          <w:color w:val="000000"/>
          <w:sz w:val="24"/>
        </w:rPr>
        <w:t xml:space="preserve">” means that certain Guarantee, dated as of January 16, 2026, by and between Vroom Parent, UACC and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i/>
          <w:color w:val="000000"/>
          <w:sz w:val="24"/>
        </w:rPr>
        <w:t>Intellectual Property</w:t>
      </w:r>
      <w:r>
        <w:rPr>
          <w:rFonts w:ascii="Times New Roman" w:hAnsi="Times New Roman"/>
          <w:color w:val="000000"/>
          <w:sz w:val="24"/>
        </w:rPr>
        <w:t>” means all intellectual property rights recognized under applicable law, including patents, patent applications, registered and unregistered trademarks, trademark applications, registered and unregistered service marks, service mark applications, tradenames, copyrights, trade secrets, domain names, mask works, proprietary rights in information and other proprietary rights and processes.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i/>
          <w:color w:val="000000"/>
          <w:sz w:val="24"/>
        </w:rPr>
        <w:t>Intercompany Agreement</w:t>
      </w:r>
      <w:r>
        <w:rPr>
          <w:rFonts w:ascii="Times New Roman" w:hAnsi="Times New Roman"/>
          <w:color w:val="000000"/>
          <w:sz w:val="24"/>
        </w:rPr>
        <w:t>” means that certain Intercompany Assignment and Assumption Agreement, dated as of January 16, 2026, by and between the Company, Vroom Parent and Vroom Services, LLC, a Delaware limited liability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i/>
          <w:color w:val="000000"/>
          <w:sz w:val="24"/>
        </w:rPr>
        <w:t>IP Assignment Agreement</w:t>
      </w:r>
      <w:r>
        <w:rPr>
          <w:rFonts w:ascii="Times New Roman" w:hAnsi="Times New Roman"/>
          <w:color w:val="000000"/>
          <w:sz w:val="24"/>
        </w:rPr>
        <w:t>”, means that certain Intellectual Property Assignment Agreement, dated as of January 16, 2026, by and between the Company and Vast.com, Inc., a California corporation (“</w:t>
      </w:r>
      <w:r>
        <w:rPr>
          <w:rFonts w:ascii="Times New Roman" w:hAnsi="Times New Roman"/>
          <w:b/>
          <w:i/>
          <w:color w:val="000000"/>
          <w:sz w:val="24"/>
        </w:rPr>
        <w:t>Vast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i/>
          <w:color w:val="000000"/>
          <w:sz w:val="24"/>
        </w:rPr>
        <w:t>IP License Agreement</w:t>
      </w:r>
      <w:r>
        <w:rPr>
          <w:rFonts w:ascii="Times New Roman" w:hAnsi="Times New Roman"/>
          <w:color w:val="000000"/>
          <w:sz w:val="24"/>
        </w:rPr>
        <w:t>” means that certain Intellectual Property License Agreement, dated as of January 16, 2026, by and between Vast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i/>
          <w:color w:val="000000"/>
          <w:sz w:val="24"/>
        </w:rPr>
        <w:t>Key Employees</w:t>
      </w:r>
      <w:r>
        <w:rPr>
          <w:rFonts w:ascii="Times New Roman" w:hAnsi="Times New Roman"/>
          <w:color w:val="000000"/>
          <w:sz w:val="24"/>
        </w:rPr>
        <w:t>” means Tom Shortt, Jon Sandison and Anna-Lisa Corrales.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color w:val="000000"/>
        </w:rPr>
        <w:t>“</w:t>
      </w:r>
      <w:r>
        <w:rPr>
          <w:rFonts w:ascii="Times New Roman" w:hAnsi="Times New Roman"/>
          <w:b/>
          <w:i/>
          <w:color w:val="000000"/>
          <w:sz w:val="24"/>
        </w:rPr>
        <w:t>Knowledge</w:t>
      </w:r>
      <w:r>
        <w:rPr>
          <w:rFonts w:ascii="Times New Roman" w:hAnsi="Times New Roman"/>
          <w:color w:val="000000"/>
          <w:sz w:val="24"/>
        </w:rPr>
        <w:t>” including the phrase “</w:t>
      </w:r>
      <w:r>
        <w:rPr>
          <w:rFonts w:ascii="Times New Roman" w:hAnsi="Times New Roman"/>
          <w:b/>
          <w:i/>
          <w:color w:val="000000"/>
          <w:sz w:val="24"/>
        </w:rPr>
        <w:t>to the Company’s knowledge</w:t>
      </w:r>
      <w:r>
        <w:rPr>
          <w:rFonts w:ascii="Times New Roman" w:hAnsi="Times New Roman"/>
          <w:color w:val="000000"/>
          <w:sz w:val="24"/>
        </w:rPr>
        <w:t>” shall mean each Key Employee’s actual knowledge after reasonable investigation and assuming such knowledge as the individual would have as a result of the reasonable performance of the individual’s duties in the ordinary course.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i/>
          <w:color w:val="000000"/>
          <w:sz w:val="24"/>
        </w:rPr>
        <w:t>Loan and Security Agreement</w:t>
      </w:r>
      <w:r>
        <w:rPr>
          <w:rFonts w:ascii="Times New Roman" w:hAnsi="Times New Roman"/>
          <w:color w:val="000000"/>
          <w:sz w:val="24"/>
        </w:rPr>
        <w:t>” means that certain Loan and Security Agreement, dated as of January 16, 2026, by and between UACC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i/>
          <w:color w:val="000000"/>
          <w:sz w:val="24"/>
        </w:rPr>
        <w:t>Material Adverse Effect</w:t>
      </w:r>
      <w:r>
        <w:rPr>
          <w:rFonts w:ascii="Times New Roman" w:hAnsi="Times New Roman"/>
          <w:color w:val="000000"/>
          <w:sz w:val="24"/>
        </w:rPr>
        <w:t xml:space="preserve">” means a material adverse effect on, or significant negative change to, the business, assets (including intangible assets), liabilities, financial condition, property, or results of operations of the Company that substantially reduces its value.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4"/>
        </w:rPr>
        <w:t>” means any individual, corporation, partnership, trust, limited liability company, association or other entity.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i/>
          <w:color w:val="000000"/>
          <w:sz w:val="24"/>
        </w:rPr>
        <w:t>Preferred Accruing Distributions</w:t>
      </w:r>
      <w:r>
        <w:rPr>
          <w:rFonts w:ascii="Times New Roman" w:hAnsi="Times New Roman"/>
          <w:color w:val="000000"/>
          <w:sz w:val="24"/>
        </w:rPr>
        <w:t>” has the meaning set forth in the Restated Company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i/>
          <w:color w:val="000000"/>
          <w:sz w:val="24"/>
        </w:rPr>
        <w:t>Preferred Units</w:t>
      </w:r>
      <w:r>
        <w:rPr>
          <w:rFonts w:ascii="Times New Roman" w:hAnsi="Times New Roman"/>
          <w:color w:val="000000"/>
          <w:sz w:val="24"/>
        </w:rPr>
        <w:t>” means the Series A Preferred Units, the Series B Preferred Units, the Series A1 Preferred Units and the Series B1 Preferred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i/>
          <w:color w:val="000000"/>
          <w:sz w:val="24"/>
        </w:rPr>
        <w:t>Residual Interest</w:t>
      </w:r>
      <w:r>
        <w:rPr>
          <w:rFonts w:ascii="Times New Roman" w:hAnsi="Times New Roman"/>
          <w:color w:val="000000"/>
          <w:sz w:val="24"/>
        </w:rPr>
        <w:t>” means the most subordinate tranche of securities (or similar interests) issued in connection with a securitization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i/>
          <w:color w:val="000000"/>
          <w:sz w:val="24"/>
        </w:rPr>
        <w:t>Residual Interest Purchase Agreement</w:t>
      </w:r>
      <w:r>
        <w:rPr>
          <w:rFonts w:ascii="Times New Roman" w:hAnsi="Times New Roman"/>
          <w:color w:val="000000"/>
          <w:sz w:val="24"/>
        </w:rPr>
        <w:t xml:space="preserve">” means that certain Residual Interest Purchase Agreement, to be entered into at or prior to the Closing, by and among the Company, UACC, United Auto Credit Financing and the other parties signatory thereto.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i/>
          <w:color w:val="000000"/>
          <w:sz w:val="24"/>
        </w:rPr>
        <w:t>Securities Act</w:t>
      </w:r>
      <w:r>
        <w:rPr>
          <w:rFonts w:ascii="Times New Roman" w:hAnsi="Times New Roman"/>
          <w:color w:val="000000"/>
          <w:sz w:val="24"/>
        </w:rPr>
        <w:t>” means the Securities Act of 1933, as amended, and the rules and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i/>
          <w:color w:val="000000"/>
          <w:sz w:val="24"/>
        </w:rPr>
        <w:t>Series A Preferred Units</w:t>
      </w:r>
      <w:r>
        <w:rPr>
          <w:rFonts w:ascii="Times New Roman" w:hAnsi="Times New Roman"/>
          <w:color w:val="000000"/>
          <w:sz w:val="24"/>
        </w:rPr>
        <w:t>” means Series A Preferred Units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i/>
          <w:color w:val="000000"/>
          <w:sz w:val="24"/>
        </w:rPr>
        <w:t>Series B Preferred Units</w:t>
      </w:r>
      <w:r>
        <w:rPr>
          <w:rFonts w:ascii="Times New Roman" w:hAnsi="Times New Roman"/>
          <w:color w:val="000000"/>
          <w:sz w:val="24"/>
        </w:rPr>
        <w:t>” means Series B Preferred Units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i/>
          <w:color w:val="000000"/>
          <w:sz w:val="24"/>
        </w:rPr>
        <w:t>Series A1 Preferred Units</w:t>
      </w:r>
      <w:r>
        <w:rPr>
          <w:rFonts w:ascii="Times New Roman" w:hAnsi="Times New Roman"/>
          <w:color w:val="000000"/>
          <w:sz w:val="24"/>
        </w:rPr>
        <w:t>” means Series A1 Preferred Units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i/>
          <w:color w:val="000000"/>
          <w:sz w:val="24"/>
        </w:rPr>
        <w:t>Series B1 Preferred Units</w:t>
      </w:r>
      <w:r>
        <w:rPr>
          <w:rFonts w:ascii="Times New Roman" w:hAnsi="Times New Roman"/>
          <w:color w:val="000000"/>
          <w:sz w:val="24"/>
        </w:rPr>
        <w:t>” means Series B1 Preferred Units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i/>
          <w:color w:val="000000"/>
          <w:sz w:val="24"/>
        </w:rPr>
        <w:t>Transaction Agreements</w:t>
      </w:r>
      <w:r>
        <w:rPr>
          <w:rFonts w:ascii="Times New Roman" w:hAnsi="Times New Roman"/>
          <w:color w:val="000000"/>
          <w:sz w:val="24"/>
        </w:rPr>
        <w:t>” means this Agreement, the Restated Company Agreement, the Amended and Restated Letter Agreement, the Residual Interest Purchase Agreement, the Loan and Security Agreement, the Intercompany Agreement, the IP Assignment Agreement, the IP License Agreement, the Distribution and Contribution Agreement, the Guarantee, the Custody Agreement and the Trust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i/>
          <w:color w:val="000000"/>
          <w:sz w:val="24"/>
        </w:rPr>
        <w:t>Trust Agreements</w:t>
      </w:r>
      <w:r>
        <w:rPr>
          <w:rFonts w:ascii="Times New Roman" w:hAnsi="Times New Roman"/>
          <w:color w:val="000000"/>
          <w:sz w:val="24"/>
        </w:rPr>
        <w:t>” means, collectively, (i) the “Basic Documents” and the “Certificates”, each as defined in that certain Sale and Servicing Agreement, dated as of February 28, 2025, by and among United Auto Credit Securitization Trust 2025-1, as issuer, United Auto Credit Financing LLC, as depositor, UACC, as servicer, and Computershare Trust Company, N.A., as backup servicer and indenture trustee, (ii) that certain Sale and Servicing Agreement, dated as of March 31, 2024, by and among United Auto Credit Securitization Trust 2024-1, as issuer, United Auto Credit Financing LLC, as depositor, UACC, as servicer, and Computershare Trust Company, N.A., as backup servicer and indenture trustee and (iii) that certain Sale and Servicing Agreement, dated as of January 31, 2026, by and among United Auto Credit Securitization Trust 2026-1, as issuer, United Auto Credit Financing LLC, as depositor, UACC, as servicer, and Computershare Trust Company, N.A., as backup servicer and indenture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i/>
          <w:color w:val="000000"/>
          <w:sz w:val="24"/>
        </w:rPr>
        <w:t>UACC</w:t>
      </w:r>
      <w:r>
        <w:rPr>
          <w:rFonts w:ascii="Times New Roman" w:hAnsi="Times New Roman"/>
          <w:color w:val="000000"/>
          <w:sz w:val="24"/>
        </w:rPr>
        <w:t>” means United Auto Credit Corporation, a California corporation.</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i/>
          <w:color w:val="000000"/>
          <w:sz w:val="24"/>
        </w:rPr>
        <w:t>UACC Loan</w:t>
      </w:r>
      <w:r>
        <w:rPr>
          <w:rFonts w:ascii="Times New Roman" w:hAnsi="Times New Roman"/>
          <w:color w:val="000000"/>
          <w:sz w:val="24"/>
        </w:rPr>
        <w:t>” means (a) the loan of at least [***] from the Company to UACC pursuant to the Loan and Security Agreement, and (b) any other funds or amounts loaned from time to time by the Company to UACC and/or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color w:val="000000"/>
        </w:rPr>
        <w:t>“</w:t>
      </w:r>
      <w:r>
        <w:rPr>
          <w:rFonts w:ascii="Times New Roman" w:hAnsi="Times New Roman"/>
          <w:b/>
          <w:i/>
          <w:color w:val="000000"/>
          <w:sz w:val="24"/>
        </w:rPr>
        <w:t>UACST 2024-1</w:t>
      </w:r>
      <w:r>
        <w:rPr>
          <w:rFonts w:ascii="Times New Roman" w:hAnsi="Times New Roman"/>
          <w:color w:val="000000"/>
          <w:sz w:val="24"/>
        </w:rPr>
        <w:t>” means United Auto Credit Securitization Trust 2024-1, a Delaware statutory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color w:val="000000"/>
        </w:rPr>
        <w:t>“</w:t>
      </w:r>
      <w:r>
        <w:rPr>
          <w:rFonts w:ascii="Times New Roman" w:hAnsi="Times New Roman"/>
          <w:b/>
          <w:i/>
          <w:color w:val="000000"/>
          <w:sz w:val="24"/>
        </w:rPr>
        <w:t>UACST 2026-1</w:t>
      </w:r>
      <w:r>
        <w:rPr>
          <w:rFonts w:ascii="Times New Roman" w:hAnsi="Times New Roman"/>
          <w:color w:val="000000"/>
          <w:sz w:val="24"/>
        </w:rPr>
        <w:t>” means United Auto Credit Securitization Trust 2026-1, a Delaware statutory trust.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color w:val="000000"/>
        </w:rPr>
        <w:t>“</w:t>
      </w:r>
      <w:r>
        <w:rPr>
          <w:rFonts w:ascii="Times New Roman" w:hAnsi="Times New Roman"/>
          <w:b/>
          <w:i/>
          <w:color w:val="000000"/>
          <w:sz w:val="24"/>
        </w:rPr>
        <w:t>United Auto Credit Financing</w:t>
      </w:r>
      <w:r>
        <w:rPr>
          <w:rFonts w:ascii="Times New Roman" w:hAnsi="Times New Roman"/>
          <w:color w:val="000000"/>
          <w:sz w:val="24"/>
        </w:rPr>
        <w:t>” means United Auto Credit Financing LLC, a Delaware limited liability company.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Representations and Warranties of the Company</w:t>
      </w:r>
      <w:r>
        <w:rPr>
          <w:rFonts w:ascii="Times New Roman" w:hAnsi="Times New Roman"/>
          <w:color w:val="000000"/>
          <w:sz w:val="24"/>
        </w:rPr>
        <w:t xml:space="preserve">. Each of Vroom Parent and the Company hereby represent and warrant to the Purchaser that, except as set forth on the Disclosure Schedule attached as </w:t>
      </w:r>
      <w:r>
        <w:rPr>
          <w:rFonts w:ascii="Times New Roman" w:hAnsi="Times New Roman"/>
          <w:color w:val="000000"/>
          <w:sz w:val="24"/>
          <w:u w:val="single"/>
        </w:rPr>
        <w:t>Exhibit B</w:t>
      </w:r>
      <w:r>
        <w:rPr>
          <w:rFonts w:ascii="Times New Roman" w:hAnsi="Times New Roman"/>
          <w:color w:val="000000"/>
          <w:sz w:val="24"/>
        </w:rPr>
        <w:t xml:space="preserve"> to this Agreement, which exceptions shall be deemed to be part of the representations and warranties made hereunder, the following representations are true and complete in all respects as of the date of the Closing. The Disclosure Schedule shall be arranged in sections corresponding to the numbered and lettered sections and subsections contained in this </w:t>
      </w:r>
      <w:r>
        <w:rPr>
          <w:rFonts w:ascii="Times New Roman" w:hAnsi="Times New Roman"/>
          <w:color w:val="000000"/>
          <w:sz w:val="24"/>
          <w:u w:val="single"/>
        </w:rPr>
        <w:t>Section 2</w:t>
      </w:r>
      <w:r>
        <w:rPr>
          <w:rFonts w:ascii="Times New Roman" w:hAnsi="Times New Roman"/>
          <w:color w:val="000000"/>
          <w:sz w:val="24"/>
        </w:rPr>
        <w:t xml:space="preserve">, and the disclosures in any section or subsection of the Disclosure Schedule shall qualify other sections and subsections in this </w:t>
      </w:r>
      <w:r>
        <w:rPr>
          <w:rFonts w:ascii="Times New Roman" w:hAnsi="Times New Roman"/>
          <w:color w:val="000000"/>
          <w:sz w:val="24"/>
          <w:u w:val="single"/>
        </w:rPr>
        <w:t>Section 2</w:t>
      </w:r>
      <w:r>
        <w:rPr>
          <w:rFonts w:ascii="Times New Roman" w:hAnsi="Times New Roman"/>
          <w:color w:val="000000"/>
          <w:sz w:val="24"/>
        </w:rPr>
        <w:t xml:space="preserve"> only to the extent it is reasonably apparent from a reading of the disclosure that such disclosure is applicable to such other sections and subsections.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purposes of these representations and warranties (other than those in </w:t>
      </w:r>
      <w:r>
        <w:rPr>
          <w:rFonts w:ascii="Times New Roman" w:hAnsi="Times New Roman"/>
          <w:color w:val="000000"/>
          <w:sz w:val="24"/>
          <w:u w:val="single"/>
        </w:rPr>
        <w:t>Sections 2.2</w:t>
      </w:r>
      <w:r>
        <w:rPr>
          <w:rFonts w:ascii="Times New Roman" w:hAnsi="Times New Roman"/>
          <w:color w:val="000000"/>
          <w:sz w:val="24"/>
        </w:rPr>
        <w:t xml:space="preserve">, </w:t>
      </w:r>
      <w:r>
        <w:rPr>
          <w:rFonts w:ascii="Times New Roman" w:hAnsi="Times New Roman"/>
          <w:color w:val="000000"/>
          <w:sz w:val="24"/>
          <w:u w:val="single"/>
        </w:rPr>
        <w:t>2.3</w:t>
      </w:r>
      <w:r>
        <w:rPr>
          <w:rFonts w:ascii="Times New Roman" w:hAnsi="Times New Roman"/>
          <w:color w:val="000000"/>
          <w:sz w:val="24"/>
        </w:rPr>
        <w:t xml:space="preserve">, </w:t>
      </w:r>
      <w:r>
        <w:rPr>
          <w:rFonts w:ascii="Times New Roman" w:hAnsi="Times New Roman"/>
          <w:color w:val="000000"/>
          <w:sz w:val="24"/>
          <w:u w:val="single"/>
        </w:rPr>
        <w:t>2.4</w:t>
      </w:r>
      <w:r>
        <w:rPr>
          <w:rFonts w:ascii="Times New Roman" w:hAnsi="Times New Roman"/>
          <w:color w:val="000000"/>
          <w:sz w:val="24"/>
        </w:rPr>
        <w:t xml:space="preserve">, </w:t>
      </w:r>
      <w:r>
        <w:rPr>
          <w:rFonts w:ascii="Times New Roman" w:hAnsi="Times New Roman"/>
          <w:color w:val="000000"/>
          <w:sz w:val="24"/>
          <w:u w:val="single"/>
        </w:rPr>
        <w:t>2.5</w:t>
      </w:r>
      <w:r>
        <w:rPr>
          <w:rFonts w:ascii="Times New Roman" w:hAnsi="Times New Roman"/>
          <w:color w:val="000000"/>
          <w:sz w:val="24"/>
        </w:rPr>
        <w:t xml:space="preserve">, and </w:t>
      </w:r>
      <w:r>
        <w:rPr>
          <w:rFonts w:ascii="Times New Roman" w:hAnsi="Times New Roman"/>
          <w:color w:val="000000"/>
          <w:sz w:val="24"/>
          <w:u w:val="single"/>
        </w:rPr>
        <w:t>2.6</w:t>
      </w:r>
      <w:r>
        <w:rPr>
          <w:rFonts w:ascii="Times New Roman" w:hAnsi="Times New Roman"/>
          <w:color w:val="000000"/>
          <w:sz w:val="24"/>
        </w:rPr>
        <w:t>), the term the “</w:t>
      </w:r>
      <w:r>
        <w:rPr>
          <w:rFonts w:ascii="Times New Roman" w:hAnsi="Times New Roman"/>
          <w:b/>
          <w:color w:val="000000"/>
          <w:sz w:val="24"/>
        </w:rPr>
        <w:t>Company</w:t>
      </w:r>
      <w:r>
        <w:rPr>
          <w:rFonts w:ascii="Times New Roman" w:hAnsi="Times New Roman"/>
          <w:color w:val="000000"/>
          <w:sz w:val="24"/>
        </w:rPr>
        <w:t>” shall include any subsidiaries of the Company, unless otherwise noted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Organization, Good Standing, Corporate Power and Qualification</w:t>
      </w:r>
      <w:r>
        <w:rPr>
          <w:rFonts w:ascii="Times New Roman" w:hAnsi="Times New Roman"/>
          <w:color w:val="000000"/>
          <w:sz w:val="24"/>
        </w:rPr>
        <w:t>. The Company is a limited liability company duly organized, validly existing and in good standing under the laws of the State of Delaware and has all requisite company power and authority to carry on its business as presently conducted and as proposed to be conducted. The Company is duly qualified to transact business and is in good standing in each jurisdiction where the failure to so qualify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Capitalization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authorized membership interests of the Company consists, as of the date hereof, but before giving effect to the Closing,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an unlimited number of Common Units (the “</w:t>
      </w:r>
      <w:r>
        <w:rPr>
          <w:rFonts w:ascii="Times New Roman" w:hAnsi="Times New Roman"/>
          <w:b/>
          <w:i/>
          <w:color w:val="000000"/>
          <w:sz w:val="24"/>
        </w:rPr>
        <w:t>Common Units</w:t>
      </w:r>
      <w:r>
        <w:rPr>
          <w:rFonts w:ascii="Times New Roman" w:hAnsi="Times New Roman"/>
          <w:color w:val="000000"/>
          <w:sz w:val="24"/>
        </w:rPr>
        <w:t>”), 39,229 of which are issued and outstanding. All of the outstanding Common Units have been duly authorized, are fully paid and nonassessable and were issued in compliance with all applicable federal and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an unlimited number of Series A Preferred Units, 15,000 of which are issued and outstanding, (B) an unlimited number of Series B Preferred Units, 7,500 of which are issued and outstanding, (C) an unlimited number of Series A1 Preferred Units, none of which are issued and outstanding, and (D) an unlimited number of Series B1 Preferred Units,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which are issued and outstanding. The rights, privileges and preferences of the Preferred Units are as stated in the Restated Company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2.2(b)</w:t>
      </w:r>
      <w:r>
        <w:rPr>
          <w:rFonts w:ascii="Times New Roman" w:hAnsi="Times New Roman"/>
          <w:color w:val="000000"/>
          <w:sz w:val="24"/>
        </w:rPr>
        <w:t xml:space="preserve"> of the Disclosure Schedule sets forth the capitalization of the Company immediately following the Closing, including the number of units of the following: (i) issued and outstanding Common Units, and; (ii) issued and outstanding Preferred Units. Except for the conversion privileges of the Series B Preferred Units and Series B1 Preferred Units, and except for the rights set forth in the Restated Company Agreement, there are no outstanding options, warrants, rights (including conversion or preemptive rights and rights of first refusal or similar rights) or agreements, orally or in writing, to purchase or acquire from the Company any Common Units or Preferred Units, or any securities convertible into or exchangeable for Common Units or Preferred Units. All outstanding Common Units are subject to the transfer restrictions set forth in the Restated Company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the Restated Company Agreement, the Company has no obligation (contingent or otherwise) to purchase or redeem any of its Common Units or Preferred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obtained valid waivers of any rights by other parties to purchase and be issued any of the Units covered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Subsidiaries</w:t>
      </w:r>
      <w:r>
        <w:rPr>
          <w:rFonts w:ascii="Times New Roman" w:hAnsi="Times New Roman"/>
          <w:color w:val="000000"/>
          <w:sz w:val="24"/>
        </w:rPr>
        <w:t xml:space="preserve">. Except as set forth on </w:t>
      </w:r>
      <w:r>
        <w:rPr>
          <w:rFonts w:ascii="Times New Roman" w:hAnsi="Times New Roman"/>
          <w:color w:val="000000"/>
          <w:sz w:val="24"/>
          <w:u w:val="single"/>
        </w:rPr>
        <w:t>Section 2.3</w:t>
      </w:r>
      <w:r>
        <w:rPr>
          <w:rFonts w:ascii="Times New Roman" w:hAnsi="Times New Roman"/>
          <w:color w:val="000000"/>
          <w:sz w:val="24"/>
        </w:rPr>
        <w:t xml:space="preserve"> of the Disclosure Schedule, the Company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Authorization</w:t>
      </w:r>
      <w:r>
        <w:rPr>
          <w:rFonts w:ascii="Times New Roman" w:hAnsi="Times New Roman"/>
          <w:color w:val="000000"/>
          <w:sz w:val="24"/>
        </w:rPr>
        <w:t>. All actions required to be taken by (x) the board of managers (the “</w:t>
      </w:r>
      <w:r>
        <w:rPr>
          <w:rFonts w:ascii="Times New Roman" w:hAnsi="Times New Roman"/>
          <w:b/>
          <w:i/>
          <w:color w:val="000000"/>
          <w:sz w:val="24"/>
        </w:rPr>
        <w:t>Board</w:t>
      </w:r>
      <w:r>
        <w:rPr>
          <w:rFonts w:ascii="Times New Roman" w:hAnsi="Times New Roman"/>
          <w:color w:val="000000"/>
          <w:sz w:val="24"/>
        </w:rPr>
        <w:t>”) and members of the Company, and (y) the board of directors (or similar governing body) and equityholders of the Company’s Affiliates, in each case, in order to authorize the Company (and its Affiliates) to enter into the Transaction Agreements, and to issue the Units at the Closing (and the Common Units issuable upon conversion of the Units), has been taken or will be taken prior to the Closing. All action on the part of the officers of the Company (and its Affiliates) necessary for the execution and delivery of the Transaction Agreements, the performance of all obligations of the Company (and its Affiliates) under the Transaction Agreements to be performed as of the Closing, the issuance and delivery of the Units and the Common Units issuable upon conversion of the Units, has been taken or will be taken prior to the Closing. The Transaction Agreements, when executed and delivered by the Company (and its Affiliates), shall constitute valid and legally binding obligations of the Company (and its Affiliates), enforceable against the Company (and its Affiliates)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Restated Company Agreement may be limited by applicable federal or state securities laws.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Valid Issuance of Securities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Units, when issued, sold and delivered in accordance with the terms and for the consideration set forth in this Agreement, will be validly issued, fully paid and nonassessable. The Units will be free of restrictions on transfer other than restrictions on transfer under applicable state and federal securities laws and liens or encumbrances created by or imposed by the Purchaser. Assuming the accuracy of the representations of the Purchaser in </w:t>
      </w:r>
      <w:r>
        <w:rPr>
          <w:rFonts w:ascii="Times New Roman" w:hAnsi="Times New Roman"/>
          <w:color w:val="000000"/>
          <w:sz w:val="24"/>
          <w:u w:val="single"/>
        </w:rPr>
        <w:t>Section 3</w:t>
      </w:r>
      <w:r>
        <w:rPr>
          <w:rFonts w:ascii="Times New Roman" w:hAnsi="Times New Roman"/>
          <w:color w:val="000000"/>
          <w:sz w:val="24"/>
        </w:rPr>
        <w:t xml:space="preserve"> of this Agreement, the Units will be issued in compliance with all applicable federal and state securities laws. The Common Units issuable upon conversion of the Units have been duly reserved for issuance, and upon issuance in accordance with the terms of the Restated Company Agreement, will be validly issued, fully paid and nonassessable and free of restrictions on transfer other than restrictions on transfer under applicable federal and state securities laws and liens or encumbrances created by or imposed by the Purchaser. Based in part upon the representations of the Purchaser in </w:t>
      </w:r>
      <w:r>
        <w:rPr>
          <w:rFonts w:ascii="Times New Roman" w:hAnsi="Times New Roman"/>
          <w:color w:val="000000"/>
          <w:sz w:val="24"/>
          <w:u w:val="single"/>
        </w:rPr>
        <w:t>Section 3</w:t>
      </w:r>
      <w:r>
        <w:rPr>
          <w:rFonts w:ascii="Times New Roman" w:hAnsi="Times New Roman"/>
          <w:color w:val="000000"/>
          <w:sz w:val="24"/>
        </w:rPr>
        <w:t xml:space="preserve"> of this Agreement, the Common Units issuable upon conversion of the Units will be issued in compliance with all applicable federal and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No “bad actor” disqualifying event described in Rule 506(d)(1)(i)-(viii) of the Securities Act (a “</w:t>
      </w:r>
      <w:r>
        <w:rPr>
          <w:rFonts w:ascii="Times New Roman" w:hAnsi="Times New Roman"/>
          <w:b/>
          <w:i/>
          <w:color w:val="000000"/>
          <w:sz w:val="24"/>
        </w:rPr>
        <w:t>Disqualification Event</w:t>
      </w:r>
      <w:r>
        <w:rPr>
          <w:rFonts w:ascii="Times New Roman" w:hAnsi="Times New Roman"/>
          <w:color w:val="000000"/>
          <w:sz w:val="24"/>
        </w:rPr>
        <w:t>”) is applicable to the Company or, to the Company’s knowledge, any Company Covered Person, except for a Disqualification Event as to which Rule 506(d)(2)(ii–iv) or (d)(3), is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Governmental Consents and Filings</w:t>
      </w:r>
      <w:r>
        <w:rPr>
          <w:rFonts w:ascii="Times New Roman" w:hAnsi="Times New Roman"/>
          <w:color w:val="000000"/>
          <w:sz w:val="24"/>
        </w:rPr>
        <w:t xml:space="preserve">. Assuming the accuracy of the representations made by the Purchaser in </w:t>
      </w:r>
      <w:r>
        <w:rPr>
          <w:rFonts w:ascii="Times New Roman" w:hAnsi="Times New Roman"/>
          <w:color w:val="000000"/>
          <w:sz w:val="24"/>
          <w:u w:val="single"/>
        </w:rPr>
        <w:t>Section 3</w:t>
      </w:r>
      <w:r>
        <w:rPr>
          <w:rFonts w:ascii="Times New Roman" w:hAnsi="Times New Roman"/>
          <w:color w:val="000000"/>
          <w:sz w:val="24"/>
        </w:rPr>
        <w:t xml:space="preserve"> of this Agreement, no consent, approval, order or authorization of, or registration, qualification, designation, declaration or filing with, any federal, state or local governmental authority is required on the part of the Company or its Affiliates in connection with the consummation of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Litigation</w:t>
      </w:r>
      <w:r>
        <w:rPr>
          <w:rFonts w:ascii="Times New Roman" w:hAnsi="Times New Roman"/>
          <w:color w:val="000000"/>
          <w:sz w:val="24"/>
        </w:rPr>
        <w:t>. There is no claim, action, suit, proceeding, arbitration, complaint, charge or investigation pending or, to the Company’s knowledge, currently threatened (i) against the Company that involves amounts in excess of [***] or against any officer, manager or Key Employee of the Company arising out of their employment or manager relationship with the Company or its Affiliates, (ii) that questions the validity of the Transaction Agreements or the right of the Company (and its Affiliates) to enter into them, or to consummate the transactions contemplated by the Transaction Agreements; or (iii) that would reasonably be expected to, either individually or in the aggregate, have a Material Adverse Effect. Neither the Company nor any of its officers, managers or Key Employees is a party or is named as subject to the provisions of any order, writ, injunction, judgment or decree of any court or government agency or instrumentality (in the case of officers, managers or Key Employees, such as would affect the Company). There is no action, suit, proceeding or investigation by the Company pending or which the Company intends to initiate. The foregoing includes, without limitation, actions, suits, proceedings or investigations pending or threatened in writing (or any basis therefor known to the Company) involving the prior employment of any of the Company’s employees, their services provided in connection with the Company’s business, any information or techniques allegedly proprietary to any of their former employers or their obligations under any agreements with prior employers.</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Intellectual Property</w:t>
      </w:r>
      <w:r>
        <w:rPr>
          <w:rFonts w:ascii="Times New Roman" w:hAnsi="Times New Roman"/>
          <w:color w:val="000000"/>
          <w:sz w:val="24"/>
        </w:rPr>
        <w:t>. The Company does not own any material Intellectual Property in the conduct of its business as now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Compliance with Other Instruments; No Conflicts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not in violation or default (i) of any provisions of its Certificate of Formation or Restated Company Agreement, (ii) of any instrument, judgment, order, writ or decree, (iii) under any note, indenture or mortgage, (iv) under any lease, agreement, contract or purchase order to which it is a party or by which it is bound that is required to be listed on the Disclosure Schedule or (v) any provision of federal, foreign or state statute, rule or regulation applicable to the Company the violation of or default under which would reasonably be expected to have a Material Adverse Effect. The execution, delivery and performance of the Transaction Agreements and the consummation of the transactions contemplated by the Transaction Agreements will not result in any such violation or be in conflict with or constitute, with or without the passage of time and giving of notice, either (i) a default under any such provision, instrument, judgment, order, writ, decree, contract or agreement; or (ii) an event which results in the creation of any lien, charge or encumbrance upon any assets of the Company or the suspension, revocation, forfeiture, or nonrenewal of any material permit or license applicable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Agreements; Actions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for the Transaction Agreements and as set forth on </w:t>
      </w:r>
      <w:r>
        <w:rPr>
          <w:rFonts w:ascii="Times New Roman" w:hAnsi="Times New Roman"/>
          <w:color w:val="000000"/>
          <w:sz w:val="24"/>
          <w:u w:val="single"/>
        </w:rPr>
        <w:t>Section 2.10(a)</w:t>
      </w:r>
      <w:r>
        <w:rPr>
          <w:rFonts w:ascii="Times New Roman" w:hAnsi="Times New Roman"/>
          <w:color w:val="000000"/>
          <w:sz w:val="24"/>
        </w:rPr>
        <w:t xml:space="preserve"> of the Disclosure Schedule, there are no agreements, understandings, instruments, contracts or proposed transactions to which the Company is a party or by which it is bound that include (i) obligations (contingent or otherwise) of, or payments to, the Company in excess of [***] (other than employment agreements and offer letters), (ii) the grant to the Company of a license to use any Intellectual Property of a third party, other than (A) shrink-wrap, click-wrap and off-the shelf software licenses, and other non-exclusive licenses for software, software-enabled services or data services that are generally available on standard terms, (B) non-exclusive licenses granted in the ordinary course of business that are incidental to the primary purpose of the agreements in which such licenses are granted and (C) agreements containing confidentiality provisions that would not otherwise be required to set forth pursuant to this clause (ii) but for an express or implied right therein to use confidential or proprietary information, (iii) any non-competition, non-solicitation or similar restrictions or limitations on the Company, or (iv) any “most favored nations”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on </w:t>
      </w:r>
      <w:r>
        <w:rPr>
          <w:rFonts w:ascii="Times New Roman" w:hAnsi="Times New Roman"/>
          <w:color w:val="000000"/>
          <w:sz w:val="24"/>
          <w:u w:val="single"/>
        </w:rPr>
        <w:t>Section 2.10(b)</w:t>
      </w:r>
      <w:r>
        <w:rPr>
          <w:rFonts w:ascii="Times New Roman" w:hAnsi="Times New Roman"/>
          <w:color w:val="000000"/>
          <w:sz w:val="24"/>
        </w:rPr>
        <w:t xml:space="preserve"> of the Disclosure Schedule, the Company has not (i) declared or paid any dividends, or authorized or made any distribution upon or with respect to any class or series of its units (other than Preferred Accruing Distributions pursuant to and in accordance with the Restated Company Agreement), (ii) incurred any indebtedness for money borrowed or incurred any other liabilities individually in excess of [***] or in excess of [***] in the aggregate, (iii) made any loans or advances to any Person, other than ordinary advances for travel expenses, or (iv) sold, exchanged or otherwise disposed of any of its assets or rights, other than the sale of its inventory in the ordinary course of business. For the purposes of </w:t>
      </w:r>
      <w:r>
        <w:rPr>
          <w:rFonts w:ascii="Times New Roman" w:hAnsi="Times New Roman"/>
          <w:color w:val="000000"/>
          <w:sz w:val="24"/>
          <w:u w:val="single"/>
        </w:rPr>
        <w:t>clauses (a)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of this </w:t>
      </w:r>
      <w:r>
        <w:rPr>
          <w:rFonts w:ascii="Times New Roman" w:hAnsi="Times New Roman"/>
          <w:color w:val="000000"/>
          <w:sz w:val="24"/>
          <w:u w:val="single"/>
        </w:rPr>
        <w:t>Section 2.10</w:t>
      </w:r>
      <w:r>
        <w:rPr>
          <w:rFonts w:ascii="Times New Roman" w:hAnsi="Times New Roman"/>
          <w:color w:val="000000"/>
          <w:sz w:val="24"/>
        </w:rPr>
        <w:t xml:space="preserve">, all indebtedness, liabilities, agreements, understandings, instruments, contracts and proposed transactions involving the same Person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(including Persons the Company has reason to believe are affiliated with each other) shall be aggregated for the purpose of meeting the individual minimum dollar amounts of such subsection.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not a guarantor or indemnitor of any indebtedness of any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Closing, that certain [***] Agreement, [***], by and between [***] and the Company, has been duly and validly assigned or transferred to an Affiliate of the Company, and the Company has no outstanding liabilities or obligations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Certain Transactions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Other than (i) standard employee benefits generally made available to all employees, (ii) standard manager and officer indemnification agreements approved by the Board, and (iii) as set forth on </w:t>
      </w:r>
      <w:r>
        <w:rPr>
          <w:rFonts w:ascii="Times New Roman" w:hAnsi="Times New Roman"/>
          <w:color w:val="000000"/>
          <w:sz w:val="24"/>
          <w:u w:val="single"/>
        </w:rPr>
        <w:t>Section 2.11(a)</w:t>
      </w:r>
      <w:r>
        <w:rPr>
          <w:rFonts w:ascii="Times New Roman" w:hAnsi="Times New Roman"/>
          <w:color w:val="000000"/>
          <w:sz w:val="24"/>
        </w:rPr>
        <w:t xml:space="preserve"> of the Disclosure Schedule, there are no agreements, understandings or proposed transactions between the Company and any of its officers, managers, consultants or Key Employees, or any Affiliate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Except as set forth on </w:t>
      </w:r>
      <w:r>
        <w:rPr>
          <w:rFonts w:ascii="Times New Roman" w:hAnsi="Times New Roman"/>
          <w:color w:val="000000"/>
          <w:sz w:val="24"/>
          <w:u w:val="single"/>
        </w:rPr>
        <w:t>Section 2.11(b)</w:t>
      </w:r>
      <w:r>
        <w:rPr>
          <w:rFonts w:ascii="Times New Roman" w:hAnsi="Times New Roman"/>
          <w:color w:val="000000"/>
          <w:sz w:val="24"/>
        </w:rPr>
        <w:t xml:space="preserve"> of the Disclosure Schedule, the Company is not indebted, directly or indirectly, to any of its managers,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Except as set forth on </w:t>
      </w:r>
      <w:r>
        <w:rPr>
          <w:rFonts w:ascii="Times New Roman" w:hAnsi="Times New Roman"/>
          <w:color w:val="000000"/>
          <w:sz w:val="24"/>
          <w:u w:val="single"/>
        </w:rPr>
        <w:t>Section 2.11(b)</w:t>
      </w:r>
      <w:r>
        <w:rPr>
          <w:rFonts w:ascii="Times New Roman" w:hAnsi="Times New Roman"/>
          <w:color w:val="000000"/>
          <w:sz w:val="24"/>
        </w:rPr>
        <w:t xml:space="preserve"> of the Disclosure Schedule, none of the Company’s managers, officers or employees, or any members of their immediate families, or any Affiliate of the foregoing are, directly or indirectly, indebted to the Company or, to the Company’s knowledge, have any (i) material commercial, industrial, banking, consulting, legal, accounting, charitable or familial relationship with the Company or any of the Company’s customers, suppliers, service providers, joint venture partners, licensees and competitors, (ii) direct or indirect ownership interest in any firm or corporation with which the Company is affiliated or with which the Company has a business relationship, or any firm or corporation which competes with the Company except that managers, officers, employees or members of the Company may own securities in (but not exceeding two percent (2%) of the outstanding capital stock of) publicly traded companies that may compete with the Company; or (iii) financial interest in any contract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Rights of Registration and Voting Rights</w:t>
      </w:r>
      <w:r>
        <w:rPr>
          <w:rFonts w:ascii="Times New Roman" w:hAnsi="Times New Roman"/>
          <w:color w:val="000000"/>
          <w:sz w:val="24"/>
        </w:rPr>
        <w:t>. Except as provided in the Restated Company Agreement, the Company is not under any obligation to register under the Securities Act any of its currently outstanding securities or any securities issuable upon exercise or conversion of its currently outstanding securities. To the Company’s knowledge, except as contemplated in the Restated Company Agreement, no member of the Company has entered into any agreements with respect to the voting of units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Property; Assets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property and assets that the Company owns are free and clear of all mortgages, deeds of trust, liens, loans and encumbrances, except for statutory liens for the payment of current taxes that are not yet delinquent and encumbrances and liens that arise in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ordinary course of business and do not materially impair the Company’s ownership or use of such property or assets. With respect to the property and assets it leases, the Company is in compliance with such leases and, to its knowledge, holds a valid leasehold interest free of any liens, claims or encumbrances other than those of the lessors of such property or assets. The Company does not own any real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Section 2.13(b)(i)</w:t>
      </w:r>
      <w:r>
        <w:rPr>
          <w:rFonts w:ascii="Times New Roman" w:hAnsi="Times New Roman"/>
          <w:color w:val="000000"/>
          <w:sz w:val="24"/>
        </w:rPr>
        <w:t xml:space="preserve"> of the Disclosure Schedules sets forth all property, assets and liabilities of the Company (excluding, for the avoidance of doubt, the Transferred Assets and Liabilities and the Previously Transferred Assets and Liabilities) that have not been sold, transferred, novated or assigned by the Company to an Affiliate of the Company or any other Person prior to the Closing.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Vroom Parent has assumed sole responsibility for any and all losses, damages, costs, expenses, detriments, liabilities and obligations of the property, assets and liabilities described in the foregoing </w:t>
      </w:r>
      <w:r>
        <w:rPr>
          <w:rFonts w:ascii="Times New Roman" w:hAnsi="Times New Roman"/>
          <w:color w:val="000000"/>
          <w:sz w:val="24"/>
          <w:u w:val="single"/>
        </w:rPr>
        <w:t>clause (i)</w:t>
      </w:r>
      <w:r>
        <w:rPr>
          <w:rFonts w:ascii="Times New Roman" w:hAnsi="Times New Roman"/>
          <w:color w:val="000000"/>
          <w:sz w:val="24"/>
        </w:rPr>
        <w:t xml:space="preserve"> and the related Disclosure Schedule (collectively, the “</w:t>
      </w:r>
      <w:r>
        <w:rPr>
          <w:rFonts w:ascii="Times New Roman" w:hAnsi="Times New Roman"/>
          <w:b/>
          <w:i/>
          <w:color w:val="000000"/>
          <w:sz w:val="24"/>
        </w:rPr>
        <w:t>Excluded Liabilities</w:t>
      </w:r>
      <w:r>
        <w:rPr>
          <w:rFonts w:ascii="Times New Roman" w:hAnsi="Times New Roman"/>
          <w:color w:val="000000"/>
          <w:sz w:val="24"/>
        </w:rPr>
        <w:t xml:space="preserve">”), and the Company, its subsidiaries and the Purchaser shall have no liability or obligation with respect to any such Excluded Liability.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Each of the Company and the Purchaser agree that Vroom Parent shall be entitled to any benefit, payment, or other consideration attributable to or arising or derived from the property, assets and liabilities described in the foregoing </w:t>
      </w:r>
      <w:r>
        <w:rPr>
          <w:rFonts w:ascii="Times New Roman" w:hAnsi="Times New Roman"/>
          <w:color w:val="000000"/>
          <w:sz w:val="24"/>
          <w:u w:val="single"/>
        </w:rPr>
        <w:t>clause (i)</w:t>
      </w:r>
      <w:r>
        <w:rPr>
          <w:rFonts w:ascii="Times New Roman" w:hAnsi="Times New Roman"/>
          <w:color w:val="000000"/>
          <w:sz w:val="24"/>
        </w:rPr>
        <w:t xml:space="preserve"> and the related Disclosure Schedule (collectively, the “</w:t>
      </w:r>
      <w:r>
        <w:rPr>
          <w:rFonts w:ascii="Times New Roman" w:hAnsi="Times New Roman"/>
          <w:b/>
          <w:i/>
          <w:color w:val="000000"/>
          <w:sz w:val="24"/>
        </w:rPr>
        <w:t>Excluded Assets</w:t>
      </w:r>
      <w:r>
        <w:rPr>
          <w:rFonts w:ascii="Times New Roman" w:hAnsi="Times New Roman"/>
          <w:color w:val="000000"/>
          <w:sz w:val="24"/>
        </w:rPr>
        <w:t>”), and none of the Company, its subsidiaries or the Purchaser shall be entitled to any benefit or compensation with respect to any such Excluded Asset.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2.13(c)</w:t>
      </w:r>
      <w:r>
        <w:rPr>
          <w:rFonts w:ascii="Times New Roman" w:hAnsi="Times New Roman"/>
          <w:color w:val="000000"/>
          <w:sz w:val="24"/>
        </w:rPr>
        <w:t xml:space="preserve"> of the Disclosure Schedules set forth (i) all property, assets and liabilities that will be purchased by, or assigned or transferred to, the Company at or immediately after the Closing in accordance with the Residual Interest Purchase Agreement (the “</w:t>
      </w:r>
      <w:r>
        <w:rPr>
          <w:rFonts w:ascii="Times New Roman" w:hAnsi="Times New Roman"/>
          <w:b/>
          <w:i/>
          <w:color w:val="000000"/>
          <w:sz w:val="24"/>
        </w:rPr>
        <w:t>Transferred Assets and Liabilities</w:t>
      </w:r>
      <w:r>
        <w:rPr>
          <w:rFonts w:ascii="Times New Roman" w:hAnsi="Times New Roman"/>
          <w:color w:val="000000"/>
          <w:sz w:val="24"/>
        </w:rPr>
        <w:t>”), and (ii) all property, assets and liabilities that were assigned or transferred to the Company on January 16, 2026, pursuant to and in accordance with (A) the Distribution and Contribution Agreement, (B) the IP License Agreement, and (C) the Loan and Security Agreement (the “</w:t>
      </w:r>
      <w:r>
        <w:rPr>
          <w:rFonts w:ascii="Times New Roman" w:hAnsi="Times New Roman"/>
          <w:b/>
          <w:i/>
          <w:color w:val="000000"/>
          <w:sz w:val="24"/>
        </w:rPr>
        <w:t>Previously Transferred Assets and Liabilities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Financial Statements</w:t>
      </w:r>
      <w:r>
        <w:rPr>
          <w:rFonts w:ascii="Times New Roman" w:hAnsi="Times New Roman"/>
          <w:color w:val="000000"/>
          <w:sz w:val="24"/>
        </w:rPr>
        <w:t>. Vroom Parent has delivered to the Purchaser its consolidated financial statements for the fiscal year ended December 31, 2025 and its unaudited financial statements (including balance sheet, income statement and statement of cash flows) as of August 31, 2026 (collectively, the “</w:t>
      </w:r>
      <w:r>
        <w:rPr>
          <w:rFonts w:ascii="Times New Roman" w:hAnsi="Times New Roman"/>
          <w:b/>
          <w:i/>
          <w:color w:val="000000"/>
          <w:sz w:val="24"/>
        </w:rPr>
        <w:t>Financial Statements</w:t>
      </w:r>
      <w:r>
        <w:rPr>
          <w:rFonts w:ascii="Times New Roman" w:hAnsi="Times New Roman"/>
          <w:color w:val="000000"/>
          <w:sz w:val="24"/>
        </w:rPr>
        <w:t>”). The Financial Statements have been prepared in accordance with generally accepted accounting principles (“</w:t>
      </w:r>
      <w:r>
        <w:rPr>
          <w:rFonts w:ascii="Times New Roman" w:hAnsi="Times New Roman"/>
          <w:b/>
          <w:i/>
          <w:color w:val="000000"/>
          <w:sz w:val="24"/>
        </w:rPr>
        <w:t>GAAP</w:t>
      </w:r>
      <w:r>
        <w:rPr>
          <w:rFonts w:ascii="Times New Roman" w:hAnsi="Times New Roman"/>
          <w:color w:val="000000"/>
          <w:sz w:val="24"/>
        </w:rPr>
        <w:t xml:space="preserve">”) applied on a consistent basis throughout the periods indicated, except that the unaudited Financial Statements may not contain all footnotes required by GAAP. The Financial Statements fairly present in all material respects the financial condition and operating results of Vroom Parent and its subsidiaries as of the dates, and for the periods, indicated therein, subject in the case of the unaudited Financial Statements to normal, recurring year-end audit adjustments. Except as set forth in the Financial Statements, Vroom Parent has no material liabilities or obligations, contingent or otherwise, other than (i) liabilities incurred in the ordinary course of business subsequent to August 31, 2026 (ii) obligations under contracts and commitments incurred in the ordinary course of business; and (iii) liabilities and obligations of a type or nature not required under GAAP to be reflected in financial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statements, which, in all such cases, individually and in the aggregate would not have a Material Adverse Effect on Vroom Parent. </w:t>
      </w:r>
      <w:r>
        <w:rPr>
          <w:rFonts w:ascii="Times New Roman" w:hAnsi="Times New Roman"/>
          <w:color w:val="000000"/>
          <w:sz w:val="24"/>
          <w:u w:val="single"/>
        </w:rPr>
        <w:t>Section 2.14</w:t>
      </w:r>
      <w:r>
        <w:rPr>
          <w:rFonts w:ascii="Times New Roman" w:hAnsi="Times New Roman"/>
          <w:color w:val="000000"/>
          <w:sz w:val="24"/>
        </w:rPr>
        <w:t xml:space="preserve"> of the Disclosure Schedule sets forth a standalone unaudited balance sheet of the Company as of August 31, 2026, which has been prepared in accordance with GAAP (except that such balance sheet may not contain footnotes required by GAAP) and fairly presents, in all material respects, the financial condition of the Company as of such date, subject to normal recurring year-end audit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Changes</w:t>
      </w:r>
      <w:r>
        <w:rPr>
          <w:rFonts w:ascii="Times New Roman" w:hAnsi="Times New Roman"/>
          <w:color w:val="000000"/>
          <w:sz w:val="24"/>
        </w:rPr>
        <w:t>. Except as contemplated by this Agreement and the Restated Company Agreement, since August 31, 2026, there has not been: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any material change in the assets, liabilities, financial condition or operating results of Vroom Parent from that reflected in the Financial Statements, except (i) changes in the ordinary course of business, and (ii) as set forth on </w:t>
      </w:r>
      <w:r>
        <w:rPr>
          <w:rFonts w:ascii="Times New Roman" w:hAnsi="Times New Roman"/>
          <w:color w:val="000000"/>
          <w:sz w:val="24"/>
          <w:u w:val="single"/>
        </w:rPr>
        <w:t>Section 2.15</w:t>
      </w:r>
      <w:r>
        <w:rPr>
          <w:rFonts w:ascii="Times New Roman" w:hAnsi="Times New Roman"/>
          <w:color w:val="000000"/>
          <w:sz w:val="24"/>
        </w:rPr>
        <w:t xml:space="preserve"> of the Disclosure Schedule;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material damage, destruction or loss to the property or assets of the Company, whether or not covered by insurance;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waiver or compromise by the Company of a valuable right or of a material debt owed to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material satisfaction or discharge of any material lien, claim, or encumbrance or payment of any material obligation by the Company, except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material change to a material contract or agreement by which the Company or any of its assets is bound or subject;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material change in any compensation arrangement or agreement with any employee, officer, manager or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resignation or termination of employment of any officer or Key Employee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mortgage, pledge, transfer of a security interest in, or lien, created by the Company, with respect to any of its material properties or assets, except liens for taxes not yet delinquent and liens that arise in the ordinary course of business and do not materially impair the Company’s ownership or use of such property or assets;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loans or guarantees made by the Company to or for the benefit of its employees, officers or managers, or any members of their immediate families, other than travel advances and other advances made in the ordinary course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declaration, setting aside or payment or other distribution in respect of any of the Company’s securities, or any direct or indirect redemption, purchase, or other acquisition of any of such securities by the Company;</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receipt of notice that there has been a loss of, or material order cancellation by, any major customer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Company’s knowledge, any other event or condition of any character, other than events affecting the economy or the Company’s industry generally, that could reasonably be expected to have a Material Adverse Effect;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any arrangement or commitment by the Company to do any of the things described in this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Employee Matters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date hereof, the Company does not employ or engage any employees, consultants or independent contractors. To the Company’s knowledge, none of its former employees is obligated under any contract (including licenses, covenants or commitments of any nature) or other agreement, or subject to any judgment, decree or order of any court or administrative agency, that would interfere with such employee’s ability to promote the interest of the Company or that would conflict with the Company’s business. Neither the execution or delivery of the Transaction Agreements, nor the conduct of the Company’s business as now conducted and as presently proposed to be conducted, will, to the Company’s knowledge, conflict with or result in a breach of the terms, conditions, or provisions of, or constitute a default under, any contract, covenant or instrument under which any former employee is now obligated.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not delinquent in payments to any of its former employees, consultants, or independent contractors for any wages, salaries, commissions, bonuses, or other compensation for any service performed for it to the date hereof or amounts required to be reimbursed to such former employees, consultants or independent contractors. The Company has complied in all material respects with all applicable state and federal equal employment opportunity laws and with other laws related to employment, including those related to wages, hours, worker classification and collective bargaining. The Company has withheld and paid to the appropriate governmental entity or is holding for payment not yet due to such governmental entity all amounts required to be withheld from former employees of the Company and is not liable for any arrears of wages, taxes, penalties or other sums for failure to comply with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To the Company’s Knowledge, no officer of the Company or any of the Key Employees intends to terminate his or her employment or service arrangement with the Company or any of its Affiliates or is otherwise likely to become unavailable to continue providing employment or services to the Company or any of its Affiliates, nor does the Company or any of its Affiliates have a present intention to terminate the employment or service arrangement of any of the foregoing. The employment of each former employee of the Company was terminable at the will of the Company. Upon termination of the employment of any former employees, no severance or other payments became due. The Company has no policy, practice, plan or program of paying severance pay or any form of severance compensation in connection with the termination of employment services. Except as set forth in </w:t>
      </w:r>
      <w:r>
        <w:rPr>
          <w:rFonts w:ascii="Times New Roman" w:hAnsi="Times New Roman"/>
          <w:color w:val="000000"/>
          <w:sz w:val="24"/>
          <w:u w:val="single"/>
        </w:rPr>
        <w:t>Section 2.16(c)</w:t>
      </w:r>
      <w:r>
        <w:rPr>
          <w:rFonts w:ascii="Times New Roman" w:hAnsi="Times New Roman"/>
          <w:color w:val="000000"/>
          <w:sz w:val="24"/>
        </w:rPr>
        <w:t xml:space="preserve"> of the Disclosure Schedule, neither the execution, delivery or performance of the Transaction Agreements nor the consummation of the transactions contemplated by the Transaction Agreements will (either alone or in combination with termination of service): (i) result in any payment becoming due, or increase the amount of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compensation due, to any current or former employee, consultant or independent contractor of the Company or (ii) result in the acceleration of the time of payment or vesting of any compensation or benefits due to any current or former employee, consultant or independent contractor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not made any commitments regarding equity incentives to any officer or former employee, manager or consultant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Other than as set forth in </w:t>
      </w:r>
      <w:r>
        <w:rPr>
          <w:rFonts w:ascii="Times New Roman" w:hAnsi="Times New Roman"/>
          <w:color w:val="000000"/>
          <w:sz w:val="24"/>
          <w:u w:val="single"/>
        </w:rPr>
        <w:t>Section 2.16(e)</w:t>
      </w:r>
      <w:r>
        <w:rPr>
          <w:rFonts w:ascii="Times New Roman" w:hAnsi="Times New Roman"/>
          <w:color w:val="000000"/>
          <w:sz w:val="24"/>
        </w:rPr>
        <w:t xml:space="preserve"> of the Disclosure Schedule, the Company does not sponsor, maintain or contribute to, and has not sponsored, maintained, contributed to or established, any employee benefit plan which is subject to ERISA. Each “employee benefit plan” (as such term is defined in Section 3(3) of ERISA), whether or not subject to ERISA, that is or has been maintained or contributed to by the Company complies and is administered, or complied and was administered, in all material respects in accordance with its terms and the requirements of all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not bound by or subject to (and none of its assets or properties is bound by or subject to) any written or oral, express or implied, contract, commitment or arrangement with any labor union, and no labor union has requested or, to the knowledge of the Company, has sought to represent any of the former employees, representatives or agents of the Company. There is no strike or other labor dispute involving the Company pending or threatened, nor is the Company aware of any labor organization activity involving its former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Company’s knowledge, none of the officers or former managers of the Company has been (i) subject to voluntary or involuntary petition under the federal bankruptcy laws or any state insolvency law or the appointment of a receiver, fiscal agent or similar officer by a court for such person’s business or property; (ii) convicted in a criminal proceeding or named as a subject of a pending criminal proceeding (excluding traffic violations and other minor offenses); (iii) subject to any order, judgment or decree (not subsequently reversed, suspended, or vacated) of any court of competent jurisdiction permanently or temporarily enjoining such person from engaging, or otherwise imposing limits or conditions on such person’s engagement in any securities, investment advisory, banking, insurance, or other type of business or acting as an officer or director of a public company; or (iv) found by a court of competent jurisdiction in a civil action or by the Securities and Exchange Commission or the Commodity Futures Trading Commission to have violated any federal or state securities, commodities, or unfair trade practices law, which such judgment or finding has not been subsequently reversed, suspended, or vacated.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Tax Matters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(i) paid all material federal, state, county, local or foreign taxes due and payable by the Company and (ii) withheld and paid over to the appropriate governmental agency all material taxes required to be so withheld and paid by the Company. There have been no examinations or audits of any material tax returns or reports of the Company by any applicable federal, state, local or foreign governmental agency, in each case, that have not been finally resolved. The Company has duly and timely filed all material federal, state, county, local and foreign tax returns required to have been filed by it, and there are in effect no waivers of applicable statutes of limitations with respect to taxes for any year.</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is properly classified as an association taxable as a corporation for U.S. federal income tax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of the Closing, the Company is not a party to any tax sharing agreement, or any other similar agreement or arrangement under which the Company has any remaining liability or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Permits</w:t>
      </w:r>
      <w:r>
        <w:rPr>
          <w:rFonts w:ascii="Times New Roman" w:hAnsi="Times New Roman"/>
          <w:color w:val="000000"/>
          <w:sz w:val="24"/>
        </w:rPr>
        <w:t>. The Company has all permits, licenses and any similar authority necessary for the conduct of its business in effect as of the Closing, the lack of which could reasonably be expected to have a Material Adverse Effect. The Company is not in default under any such permits, licenses or similar authority, except where such default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Real Property Holding Corporation</w:t>
      </w:r>
      <w:r>
        <w:rPr>
          <w:rFonts w:ascii="Times New Roman" w:hAnsi="Times New Roman"/>
          <w:color w:val="000000"/>
          <w:sz w:val="24"/>
        </w:rPr>
        <w:t>. The Company is not now and has not been during the period specified in Section 897(c)(1)(A)(ii) of the Code a “United States real property holding corporation” as defined in the Section 897(c)(2) of the Code and the applicable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Data Privacy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In connection with the collection, storage, use, access, disclosure and/or other processing of any information that constitutes “personal information,” “personal data,” “personally identifiable information” or analogous term as defined in applicable laws (collectively, “</w:t>
      </w:r>
      <w:r>
        <w:rPr>
          <w:rFonts w:ascii="Times New Roman" w:hAnsi="Times New Roman"/>
          <w:b/>
          <w:i/>
          <w:color w:val="000000"/>
          <w:sz w:val="24"/>
        </w:rPr>
        <w:t>Personal Information</w:t>
      </w:r>
      <w:r>
        <w:rPr>
          <w:rFonts w:ascii="Times New Roman" w:hAnsi="Times New Roman"/>
          <w:color w:val="000000"/>
          <w:sz w:val="24"/>
        </w:rPr>
        <w:t>”), by or on behalf of the Company, to the Company’s knowledge, the Company is and has been in compliance in all material respects with the following (collectively, “</w:t>
      </w:r>
      <w:r>
        <w:rPr>
          <w:rFonts w:ascii="Times New Roman" w:hAnsi="Times New Roman"/>
          <w:b/>
          <w:i/>
          <w:color w:val="000000"/>
          <w:sz w:val="24"/>
        </w:rPr>
        <w:t>Privacy Requirements</w:t>
      </w:r>
      <w:r>
        <w:rPr>
          <w:rFonts w:ascii="Times New Roman" w:hAnsi="Times New Roman"/>
          <w:color w:val="000000"/>
          <w:sz w:val="24"/>
        </w:rPr>
        <w:t xml:space="preserve">”): (i) all applicable laws governing privacy or data security in all relevant jurisdictions relating to data loss, data theft, and security breach notification obligations, telephone or text message communications, artificial intelligence and automated decision-making, or marketing by email or other channels, (ii) the Company’s published privacy policies, and (iii) the privacy or data security requirements of any contracts, codes of conduct, or industry standards by which the Company is legally bound.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maintains and has maintained reasonable physical, technical, and administrative security measures and policies designed to protect all Personal Information owned, stored, used, maintained or controlled by or on behalf of the Company from and against unlawful, accidental or unauthorized access, destruction, loss, use, modification, disclosure, and/or other processing.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Company’s knowledge, there has been no material unlawful, accidental or unauthorized access to, or destruction, loss, use, modification, disclosure, or other processing of, Personal Information owned, stored, used, maintained or controlled by or on behalf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Corporate Documents</w:t>
      </w:r>
      <w:r>
        <w:rPr>
          <w:rFonts w:ascii="Times New Roman" w:hAnsi="Times New Roman"/>
          <w:color w:val="000000"/>
          <w:sz w:val="24"/>
        </w:rPr>
        <w:t xml:space="preserve">. The Company’s Certificate of Formation and the Restated Company Agreement are in the form provided to the Purchaser. The copy of the minute books of the Company contains minutes of all meetings of managers and members and all actions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written consent without a meeting by the managers and members in the three years prior to the date of this Agreement and accurately reflects in all material respects all actions by the managers (and any committee of the Board) and members with respect to all transactions referred to in such minutes.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Insurance</w:t>
      </w:r>
      <w:r>
        <w:rPr>
          <w:rFonts w:ascii="Times New Roman" w:hAnsi="Times New Roman"/>
          <w:color w:val="000000"/>
          <w:sz w:val="24"/>
        </w:rPr>
        <w:t xml:space="preserve">. The Company has in full force and effect general commercial, fire and casualty insurance policies with extended coverage, sufficient in amount (subject to reasonable deductibles) to allow it to replace any of its properties that might be damaged or destroyed.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Environmental and Safety Laws</w:t>
      </w:r>
      <w:r>
        <w:rPr>
          <w:rFonts w:ascii="Times New Roman" w:hAnsi="Times New Roman"/>
          <w:color w:val="000000"/>
          <w:sz w:val="24"/>
        </w:rPr>
        <w:t>. Except as could not reasonably be expected to have a Material Adverse Effect: (a) the Company is and has been in compliance with all Environmental Laws; (b) there has been no release or threatened release of any pollutant, contaminant or toxic or hazardous material, substance or waste or petroleum or any fraction thereof (each a “</w:t>
      </w:r>
      <w:r>
        <w:rPr>
          <w:rFonts w:ascii="Times New Roman" w:hAnsi="Times New Roman"/>
          <w:b/>
          <w:i/>
          <w:color w:val="000000"/>
          <w:sz w:val="24"/>
        </w:rPr>
        <w:t>Hazardous Substance</w:t>
      </w:r>
      <w:r>
        <w:rPr>
          <w:rFonts w:ascii="Times New Roman" w:hAnsi="Times New Roman"/>
          <w:color w:val="000000"/>
          <w:sz w:val="24"/>
        </w:rPr>
        <w:t>”), on, upon, into or from any site currently or heretofore owned, leased or otherwise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and (d) there are no underground storage tanks located on, no polychlorinated biphenyls (“</w:t>
      </w:r>
      <w:r>
        <w:rPr>
          <w:rFonts w:ascii="Times New Roman" w:hAnsi="Times New Roman"/>
          <w:b/>
          <w:i/>
          <w:color w:val="000000"/>
          <w:sz w:val="24"/>
        </w:rPr>
        <w:t>PCBs</w:t>
      </w:r>
      <w:r>
        <w:rPr>
          <w:rFonts w:ascii="Times New Roman" w:hAnsi="Times New Roman"/>
          <w:color w:val="000000"/>
          <w:sz w:val="24"/>
        </w:rPr>
        <w:t>”) or PCB-containing equipment used or stored on, and no hazardous waste as defined by the Resource Conservation and Recovery Act, as amended, stored on, any site owned or operated by the Company, except for the storage of hazardous waste in compliance with Environmental Laws.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purposes of this </w:t>
      </w:r>
      <w:r>
        <w:rPr>
          <w:rFonts w:ascii="Times New Roman" w:hAnsi="Times New Roman"/>
          <w:color w:val="000000"/>
          <w:sz w:val="24"/>
          <w:u w:val="single"/>
        </w:rPr>
        <w:t>Section 2.23</w:t>
      </w:r>
      <w:r>
        <w:rPr>
          <w:rFonts w:ascii="Times New Roman" w:hAnsi="Times New Roman"/>
          <w:color w:val="000000"/>
          <w:sz w:val="24"/>
        </w:rPr>
        <w:t>, “</w:t>
      </w:r>
      <w:r>
        <w:rPr>
          <w:rFonts w:ascii="Times New Roman" w:hAnsi="Times New Roman"/>
          <w:b/>
          <w:i/>
          <w:color w:val="000000"/>
          <w:sz w:val="24"/>
        </w:rPr>
        <w:t>Environmental Laws</w:t>
      </w:r>
      <w:r>
        <w:rPr>
          <w:rFonts w:ascii="Times New Roman" w:hAnsi="Times New Roman"/>
          <w:color w:val="000000"/>
          <w:sz w:val="24"/>
        </w:rPr>
        <w:t>” means any law, regulation, or other applicable requirement relating to (i) releases or threatened release of Hazardous Substance; (ii) pollution or protection of employee health or safety, public health or the environment; or (iii) the manufacture, handling, transport, use, treatment, storage, or disposal of Hazardous Substances.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Foreign Corrupt Practices Act</w:t>
      </w:r>
      <w:r>
        <w:rPr>
          <w:rFonts w:ascii="Times New Roman" w:hAnsi="Times New Roman"/>
          <w:color w:val="000000"/>
          <w:sz w:val="24"/>
        </w:rPr>
        <w:t>. Neither the Company nor any of the Company’s managers, officers or, to the Company’s knowledge,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hAnsi="Times New Roman"/>
          <w:b/>
          <w:i/>
          <w:color w:val="000000"/>
          <w:sz w:val="24"/>
        </w:rPr>
        <w:t>FCPA</w:t>
      </w:r>
      <w:r>
        <w:rPr>
          <w:rFonts w:ascii="Times New Roman" w:hAnsi="Times New Roman"/>
          <w:color w:val="000000"/>
          <w:sz w:val="24"/>
        </w:rPr>
        <w:t>”)),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or any of its Affiliates in obtaining or retaining business for or with, or directing business to, any person. Neither the Company nor any of its managers, officers or, to the Company’s knowledge, employees or agents have made or authorized any bribe, rebate, payoff, influence payment, kickback or other unlawful payment of funds or received or retained any funds in violation of any law, rule or regulation. Neither the Company, or, to the Company’s knowledge, any of its officers, managers or employees are the subject of any allegation, voluntary disclosure, investigation, prosecution or other enforcement action related to the FCPA or any other anti-corruption law.</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AML/OFAC</w:t>
      </w:r>
      <w:r>
        <w:rPr>
          <w:rFonts w:ascii="Times New Roman" w:hAnsi="Times New Roman"/>
          <w:color w:val="000000"/>
          <w:sz w:val="24"/>
        </w:rPr>
        <w:t>. Neither the Company nor to the knowledge of the Company, any manager, officer, agent, employee or Affiliate of the Company (i) is, or is controlled or 50% or more owned in the aggregate by or acting on behalf of, one or more individuals or entities that are currently the subject of any sanctions administered or enforced by the United States (including any administered or enforced by the Office of Foreign Assets Control of the U.S. Department of the Treasury (“</w:t>
      </w:r>
      <w:r>
        <w:rPr>
          <w:rFonts w:ascii="Times New Roman" w:hAnsi="Times New Roman"/>
          <w:b/>
          <w:i/>
          <w:color w:val="000000"/>
          <w:sz w:val="24"/>
        </w:rPr>
        <w:t>OFAC</w:t>
      </w:r>
      <w:r>
        <w:rPr>
          <w:rFonts w:ascii="Times New Roman" w:hAnsi="Times New Roman"/>
          <w:color w:val="000000"/>
          <w:sz w:val="24"/>
        </w:rPr>
        <w:t>”),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Times New Roman" w:hAnsi="Times New Roman"/>
          <w:b/>
          <w:i/>
          <w:color w:val="000000"/>
          <w:sz w:val="24"/>
        </w:rPr>
        <w:t>Sanctions</w:t>
      </w:r>
      <w:r>
        <w:rPr>
          <w:rFonts w:ascii="Times New Roman" w:hAnsi="Times New Roman"/>
          <w:color w:val="000000"/>
          <w:sz w:val="24"/>
        </w:rPr>
        <w:t>”), (ii) is located, organized or resident in a country or territory that is, or whose government is, the subject of Sanctions that broadly prohibit dealings with that country or territory and (iii) will, directly or indirectly, use the proceeds from the issuance of the Units, or lend, contribute or otherwise make available such proceeds to any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 The Company has maintained, and has caused each of its Affiliates to maintain, systems of internal controls to ensure that it does not violate (i)-(iii)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Export Control</w:t>
      </w:r>
      <w:r>
        <w:rPr>
          <w:rFonts w:ascii="Times New Roman" w:hAnsi="Times New Roman"/>
          <w:color w:val="000000"/>
          <w:sz w:val="24"/>
        </w:rPr>
        <w:t>. The Company has conducted all export transactions in accordance with applicable provisions of United States export control laws and regulations, including the Export Administration Regulations, the International Traffic in Arms Regulations, the regulations administered by the Office of Foreign Assets Control of the U.S. Treasury Department, and the export control laws and regulations of any other applicable jurisdiction. Without limiting the foregoing: (a) the Company has obtained all export licenses and other approvals, timely filed all required filings and has assigned the appropriate export classifications to all products, in each case as required for its exports of products, software and technologies from the United States and any other applicable jurisdiction; (b) the Company is in compliance with the terms of all applicable export licenses, classifications, filing requirements or other approvals; (c) there are no pending or, to the knowledge of the Company, threatened claims against the Company with respect to such exports, classifications, required filings or other approvals; (d) there are no pending investigations related to the Company’s exports; and (e) there are no actions, conditions, or circumstances pertaining to the Company’s export transactions that would reasonably be expected to give rise to any material future claims. To the Company’s knowledge, since its inception, the Company is and has been in compliance with all applicable laws administered by the Bureau of Customs and Border Protection in the United States Department of Homeland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2.27</w:t>
      </w:r>
    </w:p>
    <w:p>
      <w:pPr>
        <w:pStyle w:val="TextBody"/>
        <w:bidi w:val="0"/>
        <w:spacing w:before="0" w:after="240"/>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 xml:space="preserve"> Act</w:t>
      </w:r>
      <w:r>
        <w:rPr>
          <w:rFonts w:ascii="Times New Roman" w:hAnsi="Times New Roman"/>
          <w:color w:val="000000"/>
          <w:sz w:val="24"/>
        </w:rPr>
        <w:t>. (a) Vroom Parent and each of its subsidiaries, and (b) to the knowledge of the Company, each manager, officer, employee and agent of Vroom Parent and each of its subsidiaries, in each case, are not an entity or person (i) that is listed in the annex to, or is otherwise subject to the provisions of, [***], (ii) whose name appears on OFAC’s most current list of “Specifically Designed National and Blocked Persons,” (iii) who commits, threatens to commit or supports “terrorism”, [***], or (iv) who is otherwise affiliated with any entity or person listed or referred to in the foregoing clauses (i) and (ii).</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Investment Company Act</w:t>
      </w:r>
      <w:r>
        <w:rPr>
          <w:rFonts w:ascii="Times New Roman" w:hAnsi="Times New Roman"/>
          <w:color w:val="000000"/>
          <w:sz w:val="24"/>
        </w:rPr>
        <w:t>. The Company is not required to be registered as an “investment company” within the meaning of the Investment Company Act of 1940, as amended (the “</w:t>
      </w:r>
      <w:r>
        <w:rPr>
          <w:rFonts w:ascii="Times New Roman" w:hAnsi="Times New Roman"/>
          <w:b/>
          <w:i/>
          <w:color w:val="000000"/>
          <w:sz w:val="24"/>
        </w:rPr>
        <w:t>Investment Company Act</w:t>
      </w:r>
      <w:r>
        <w:rPr>
          <w:rFonts w:ascii="Times New Roman" w:hAnsi="Times New Roman"/>
          <w:color w:val="000000"/>
          <w:sz w:val="24"/>
        </w:rPr>
        <w:t xml:space="preserve">”) and it is not solely relying on the exemptions from registration set forth in Section 3(c)(1) or Section 3(c)(7) of the Investment Company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Disclosure</w:t>
      </w:r>
      <w:r>
        <w:rPr>
          <w:rFonts w:ascii="Times New Roman" w:hAnsi="Times New Roman"/>
          <w:color w:val="000000"/>
          <w:sz w:val="24"/>
        </w:rPr>
        <w:t>. The Company has made available to the Purchaser all the information that the Purchaser has requested for deciding whether to acquire the Units. No representation or warranty of Vroom Parent or the Company contained in this Agreement, as qualified by the Disclosure Schedule, and no certificate furnished or to be furnished to Purchaser at the Closing contains any untrue statement of a material fact or omits to state a material fact necessary in order to make the statements contained herein or therein not misleading in light of the circumstances under which they were made.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Representations and Warranties of the Purchaser</w:t>
      </w:r>
      <w:r>
        <w:rPr>
          <w:rFonts w:ascii="Times New Roman" w:hAnsi="Times New Roman"/>
          <w:color w:val="000000"/>
          <w:sz w:val="24"/>
        </w:rPr>
        <w:t>. The Purchaser hereby represents and warrants to the Company, as of the date of the Closing,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Authorization</w:t>
      </w:r>
      <w:r>
        <w:rPr>
          <w:rFonts w:ascii="Times New Roman" w:hAnsi="Times New Roman"/>
          <w:color w:val="000000"/>
          <w:sz w:val="24"/>
        </w:rPr>
        <w:t xml:space="preserve">. The Purchaser has full power and authority to enter into this Agreement. This Agreement, when executed and delivered by the Purchaser, will constitute a valid and legally binding obligation of the Purchaser,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Disclosure of Information</w:t>
      </w:r>
      <w:r>
        <w:rPr>
          <w:rFonts w:ascii="Times New Roman" w:hAnsi="Times New Roman"/>
          <w:color w:val="000000"/>
          <w:sz w:val="24"/>
        </w:rPr>
        <w:t xml:space="preserve">. The Purchaser has had an opportunity to discuss the Company’s business, management, financial affairs and the terms and conditions of the offering of the Units with the Company’s management and has had an opportunity to review the Company’s facilities, books and records. The foregoing, however, does not limit or modify the representations and warranties of the Company in </w:t>
      </w:r>
      <w:r>
        <w:rPr>
          <w:rFonts w:ascii="Times New Roman" w:hAnsi="Times New Roman"/>
          <w:color w:val="000000"/>
          <w:sz w:val="24"/>
          <w:u w:val="single"/>
        </w:rPr>
        <w:t>Section 2</w:t>
      </w:r>
      <w:r>
        <w:rPr>
          <w:rFonts w:ascii="Times New Roman" w:hAnsi="Times New Roman"/>
          <w:color w:val="000000"/>
          <w:sz w:val="24"/>
        </w:rPr>
        <w:t xml:space="preserve"> of this Agreement or the right of the Purchaser to rely thereon.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Restricted Securities</w:t>
      </w:r>
      <w:r>
        <w:rPr>
          <w:rFonts w:ascii="Times New Roman" w:hAnsi="Times New Roman"/>
          <w:color w:val="000000"/>
          <w:sz w:val="24"/>
        </w:rPr>
        <w:t xml:space="preserve">. The Purchaser understands that the Units have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Units are “restricted securities” under applicable U.S. federal and state securities laws and that, pursuant to these laws, the Purchaser must hold the Units indefinitely unless they are registered with the Securities and Exchange Commission and qualified by state authorities, or an exemption from such registration and qualification requirements is available. The Purchaser acknowledges that the Company has no obligation to register or qualify the Units or the Common Units into which the Units may be converted for resale except as set forth in the Restated Company Agreement. The Purchaser further acknowledges that if an exemption from registration or qualification is available, it may be conditioned on various requirements including, but not limited to, the time and manner of sale, the holding period for the Units, and on requirements relating to the Company which are outside of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Purchaser’s control, and which the Company is under no obligation and may not be able to satisfy.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Accredited Investor</w:t>
      </w:r>
      <w:r>
        <w:rPr>
          <w:rFonts w:ascii="Times New Roman" w:hAnsi="Times New Roman"/>
          <w:color w:val="000000"/>
          <w:sz w:val="24"/>
        </w:rPr>
        <w:t>. The Purchaser is an accredited investor as defined in Rule 501(a) of Regulation D promulgated under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General Solicitation</w:t>
      </w:r>
      <w:r>
        <w:rPr>
          <w:rFonts w:ascii="Times New Roman" w:hAnsi="Times New Roman"/>
          <w:color w:val="000000"/>
          <w:sz w:val="24"/>
        </w:rPr>
        <w:t>. Neither the Purchaser, nor any of its officers, directors, employees, agents, stockholders or partners has either directly or indirectly, including, through a broker or finder (a) engaged in any general solicitation, or (b) published any advertisement in connection with the offer and sale of the Units.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Conditions to the Purchaser’s Obligations at Closing</w:t>
      </w:r>
      <w:r>
        <w:rPr>
          <w:rFonts w:ascii="Times New Roman" w:hAnsi="Times New Roman"/>
          <w:color w:val="000000"/>
          <w:sz w:val="24"/>
        </w:rPr>
        <w:t>. The obligations of the Purchaser to purchase the Units at each Closing are subject to the fulfillment, at or before the Closing, of each of the following conditions, unless otherwise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Representations and Warranties</w:t>
      </w:r>
      <w:r>
        <w:rPr>
          <w:rFonts w:ascii="Times New Roman" w:hAnsi="Times New Roman"/>
          <w:color w:val="000000"/>
          <w:sz w:val="24"/>
        </w:rPr>
        <w:t xml:space="preserve">. The representations and warranties of Vroom Parent and the Company contained in </w:t>
      </w:r>
      <w:r>
        <w:rPr>
          <w:rFonts w:ascii="Times New Roman" w:hAnsi="Times New Roman"/>
          <w:color w:val="000000"/>
          <w:sz w:val="24"/>
          <w:u w:val="single"/>
        </w:rPr>
        <w:t>Section 2</w:t>
      </w:r>
      <w:r>
        <w:rPr>
          <w:rFonts w:ascii="Times New Roman" w:hAnsi="Times New Roman"/>
          <w:color w:val="000000"/>
          <w:sz w:val="24"/>
        </w:rPr>
        <w:t xml:space="preserve"> shall be true and correct in all respects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Performance</w:t>
      </w:r>
      <w:r>
        <w:rPr>
          <w:rFonts w:ascii="Times New Roman" w:hAnsi="Times New Roman"/>
          <w:color w:val="000000"/>
          <w:sz w:val="24"/>
        </w:rPr>
        <w:t>. The Company shall have performed and complied with all covenants, agreements, obligations and conditions contained in this Agreement that are required to be performed or complied with by the Company in all respects at or before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Compliance Certificate</w:t>
      </w:r>
      <w:r>
        <w:rPr>
          <w:rFonts w:ascii="Times New Roman" w:hAnsi="Times New Roman"/>
          <w:color w:val="000000"/>
          <w:sz w:val="24"/>
        </w:rPr>
        <w:t xml:space="preserve">. An officer of the Company shall deliver to the Purchaser at the Closing a certificate certifying that the conditions specified in </w:t>
      </w:r>
      <w:r>
        <w:rPr>
          <w:rFonts w:ascii="Times New Roman" w:hAnsi="Times New Roman"/>
          <w:color w:val="000000"/>
          <w:sz w:val="24"/>
          <w:u w:val="single"/>
        </w:rPr>
        <w:t>Subsections 4.1</w:t>
      </w:r>
      <w:r>
        <w:rPr>
          <w:rFonts w:ascii="Times New Roman" w:hAnsi="Times New Roman"/>
          <w:color w:val="000000"/>
          <w:sz w:val="24"/>
        </w:rPr>
        <w:t xml:space="preserve"> and </w:t>
      </w:r>
      <w:r>
        <w:rPr>
          <w:rFonts w:ascii="Times New Roman" w:hAnsi="Times New Roman"/>
          <w:color w:val="000000"/>
          <w:sz w:val="24"/>
          <w:u w:val="single"/>
        </w:rPr>
        <w:t>4.2</w:t>
      </w:r>
      <w:r>
        <w:rPr>
          <w:rFonts w:ascii="Times New Roman" w:hAnsi="Times New Roman"/>
          <w:color w:val="000000"/>
          <w:sz w:val="24"/>
        </w:rPr>
        <w:t xml:space="preserve"> have been fulfilled.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Qualifications</w:t>
      </w:r>
      <w:r>
        <w:rPr>
          <w:rFonts w:ascii="Times New Roman" w:hAnsi="Times New Roman"/>
          <w:color w:val="000000"/>
          <w:sz w:val="24"/>
        </w:rPr>
        <w:t>. All authorizations, approvals or permits, if any, of any federal, state, local or foreign governmental authority or regulatory body that are required in connection with the lawful issuance and sale of the Units pursuant to this Agreement shall be obtained and effective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Restated Company Agreement</w:t>
      </w:r>
      <w:r>
        <w:rPr>
          <w:rFonts w:ascii="Times New Roman" w:hAnsi="Times New Roman"/>
          <w:color w:val="000000"/>
          <w:sz w:val="24"/>
        </w:rPr>
        <w:t>. The Company and the other parties required to amend and restate the existing limited liability company agreement of the Company shall have executed and delivered the Restated Company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Transaction Agreements</w:t>
      </w:r>
      <w:r>
        <w:rPr>
          <w:rFonts w:ascii="Times New Roman" w:hAnsi="Times New Roman"/>
          <w:color w:val="000000"/>
          <w:sz w:val="24"/>
        </w:rPr>
        <w:t>. The Company shall have delivered to the Purchaser copies of each Transaction Agreement duly executed by each of the parties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Opinions of Company Counsel</w:t>
      </w:r>
      <w:r>
        <w:rPr>
          <w:rFonts w:ascii="Times New Roman" w:hAnsi="Times New Roman"/>
          <w:color w:val="000000"/>
          <w:sz w:val="24"/>
        </w:rPr>
        <w:t xml:space="preserve">. The Purchaser shall have received from Latham &amp; Watkins LLP, counsel for the Company, a corporate opinion, dated as of the Closing, in substantially the form of </w:t>
      </w:r>
      <w:r>
        <w:rPr>
          <w:rFonts w:ascii="Times New Roman" w:hAnsi="Times New Roman"/>
          <w:color w:val="000000"/>
          <w:sz w:val="24"/>
          <w:u w:val="single"/>
        </w:rPr>
        <w:t>Exhibit C</w:t>
      </w:r>
      <w:r>
        <w:rPr>
          <w:rFonts w:ascii="Times New Roman" w:hAnsi="Times New Roman"/>
          <w:color w:val="000000"/>
          <w:sz w:val="24"/>
        </w:rPr>
        <w:t xml:space="preserve"> attached to this Agreement in a form reasonably satisfactory to the Purchaser</w:t>
      </w:r>
      <w:r>
        <w:rPr>
          <w:rFonts w:ascii="Times New Roman" w:hAnsi="Times New Roman"/>
          <w:i/>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Secretary’s Certificate</w:t>
      </w:r>
      <w:r>
        <w:rPr>
          <w:rFonts w:ascii="Times New Roman" w:hAnsi="Times New Roman"/>
          <w:color w:val="000000"/>
          <w:sz w:val="24"/>
        </w:rPr>
        <w:t xml:space="preserve">. The Secretary of the Company shall have delivered to the Purchaser at the Closing, a certificate certifying (a) the Restated Company Agreement, (b) resolutions of the Board and similar governing bodies of the Company’s Affiliates approving the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 Agreements and the transactions contemplated under the Transaction Agreements, and (c) resolutions of the members of the Company approving the Restated Company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Proceedings and Documents</w:t>
      </w:r>
      <w:r>
        <w:rPr>
          <w:rFonts w:ascii="Times New Roman" w:hAnsi="Times New Roman"/>
          <w:color w:val="000000"/>
          <w:sz w:val="24"/>
        </w:rPr>
        <w:t>. All corporate and other proceedings in connection with the transactions contemplated at the Closing and all documents incidental thereto shall be reasonably satisfactory in form and substance to the Purchaser, and the Purchaser (or its counsel) shall have received all such counterpart original and certified or other copies of such documents as reasonably requested. Such documents may include good standing certificates.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Preemptive Rights</w:t>
      </w:r>
      <w:r>
        <w:rPr>
          <w:rFonts w:ascii="Times New Roman" w:hAnsi="Times New Roman"/>
          <w:color w:val="000000"/>
          <w:sz w:val="24"/>
        </w:rPr>
        <w:t>. The Company shall have obtained enforceable waivers in respect of any preemptive or similar rights directly or indirectly affecting any of its securities (including in relation to the issuance of the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Certificates</w:t>
      </w:r>
      <w:r>
        <w:rPr>
          <w:rFonts w:ascii="Times New Roman" w:hAnsi="Times New Roman"/>
          <w:color w:val="000000"/>
          <w:sz w:val="24"/>
        </w:rPr>
        <w:t>. The Company shall have delivered to the Purchaser (i) a physical membership certificate representing the Series A1 Preferred Units being purchased by the Purchaser at the Closing, and (ii) a physical membership certificate representing the Series B1 Preferred Units being purchased by the Purchaser at the Closing.</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Conditions of the Company’s Obligations at Closing</w:t>
      </w:r>
      <w:r>
        <w:rPr>
          <w:rFonts w:ascii="Times New Roman" w:hAnsi="Times New Roman"/>
          <w:color w:val="000000"/>
          <w:sz w:val="24"/>
        </w:rPr>
        <w:t>. The obligations of the Company to sell the Units to the Purchaser at the Closing are subject to the fulfillment, at or before the Closing, of each of the following conditions, unless otherwise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Representations and Warranties</w:t>
      </w:r>
      <w:r>
        <w:rPr>
          <w:rFonts w:ascii="Times New Roman" w:hAnsi="Times New Roman"/>
          <w:color w:val="000000"/>
          <w:sz w:val="24"/>
        </w:rPr>
        <w:t xml:space="preserve">. The representations and warranties of the Purchaser contained in </w:t>
      </w:r>
      <w:r>
        <w:rPr>
          <w:rFonts w:ascii="Times New Roman" w:hAnsi="Times New Roman"/>
          <w:color w:val="000000"/>
          <w:sz w:val="24"/>
          <w:u w:val="single"/>
        </w:rPr>
        <w:t>Section 3</w:t>
      </w:r>
      <w:r>
        <w:rPr>
          <w:rFonts w:ascii="Times New Roman" w:hAnsi="Times New Roman"/>
          <w:color w:val="000000"/>
          <w:sz w:val="24"/>
        </w:rPr>
        <w:t xml:space="preserve"> shall be true and correct in all respects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Performance</w:t>
      </w:r>
      <w:r>
        <w:rPr>
          <w:rFonts w:ascii="Times New Roman" w:hAnsi="Times New Roman"/>
          <w:color w:val="000000"/>
          <w:sz w:val="24"/>
        </w:rPr>
        <w:t>. The Purchaser shall have performed and complied with all covenants, agreements, obligations and conditions contained in this Agreement that are required to be performed or complied with by it at or before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Qualifications</w:t>
      </w:r>
      <w:r>
        <w:rPr>
          <w:rFonts w:ascii="Times New Roman" w:hAnsi="Times New Roman"/>
          <w:color w:val="000000"/>
          <w:sz w:val="24"/>
        </w:rPr>
        <w:t>. All authorizations, approvals or permits, if any, of any federal, state, local or foreign governmental authority or regulatory body that are required in connection with the lawful issuance and sale of the Units pursuant to this Agreement shall be obtained and effective as of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Restated Company Agreement</w:t>
      </w:r>
      <w:r>
        <w:rPr>
          <w:rFonts w:ascii="Times New Roman" w:hAnsi="Times New Roman"/>
          <w:color w:val="000000"/>
          <w:sz w:val="24"/>
        </w:rPr>
        <w:t xml:space="preserve">. The Purchaser shall have executed and delivered the Restated Company Agreement.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Purchaser Indemnity</w:t>
      </w:r>
      <w:r>
        <w:rPr>
          <w:rFonts w:ascii="Times New Roman" w:hAnsi="Times New Roman"/>
          <w:color w:val="000000"/>
          <w:sz w:val="24"/>
        </w:rPr>
        <w:t xml:space="preserve">. Purchaser hereby agrees to indemnify and hold harmless the Company and its Affiliates and its and their directors, officers, managers, members, stockholders or other equityholders, agents, and legal counsel, from and against any and all loss, damage or liability (including reasonable attorneys’ fees) due to or arising out of a breach of any representation, warranty or covenant of Purchaser contained in this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except in the case of Purchaser’s Fraud, the aggregate amount of indemnification available pursuant to this </w:t>
      </w:r>
      <w:r>
        <w:rPr>
          <w:rFonts w:ascii="Times New Roman" w:hAnsi="Times New Roman"/>
          <w:color w:val="000000"/>
          <w:sz w:val="24"/>
          <w:u w:val="single"/>
        </w:rPr>
        <w:t>Section 6.1</w:t>
      </w:r>
      <w:r>
        <w:rPr>
          <w:rFonts w:ascii="Times New Roman" w:hAnsi="Times New Roman"/>
          <w:color w:val="000000"/>
          <w:sz w:val="24"/>
        </w:rPr>
        <w:t xml:space="preserve">, if any, shall not exceed the Purchase Price. Except in the case of the Purchaser’s Fraud, this </w:t>
      </w:r>
      <w:r>
        <w:rPr>
          <w:rFonts w:ascii="Times New Roman" w:hAnsi="Times New Roman"/>
          <w:color w:val="000000"/>
          <w:sz w:val="24"/>
          <w:u w:val="single"/>
        </w:rPr>
        <w:t>Section 6.1</w:t>
      </w:r>
      <w:r>
        <w:rPr>
          <w:rFonts w:ascii="Times New Roman" w:hAnsi="Times New Roman"/>
          <w:color w:val="000000"/>
          <w:sz w:val="24"/>
        </w:rPr>
        <w:t xml:space="preserve"> is the Company’s (and its Affiliates’) sole and exclusive remedy with respect to any and all claims for any breach of any representation, warranty or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covenant of the Purchaser set forth herein. For purposes of this Agreement, “</w:t>
      </w:r>
      <w:r>
        <w:rPr>
          <w:rFonts w:ascii="Times New Roman" w:hAnsi="Times New Roman"/>
          <w:b/>
          <w:i/>
          <w:color w:val="000000"/>
          <w:sz w:val="24"/>
        </w:rPr>
        <w:t>Fraud</w:t>
      </w:r>
      <w:r>
        <w:rPr>
          <w:rFonts w:ascii="Times New Roman" w:hAnsi="Times New Roman"/>
          <w:color w:val="000000"/>
          <w:sz w:val="24"/>
        </w:rPr>
        <w:t xml:space="preserve">” means intentional and willful misrepresentation of material facts with respect to express representations and warranties contained herein, which constitute common law fraud under applicable laws.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Vroom Parent Indemnity</w:t>
      </w:r>
      <w:r>
        <w:rPr>
          <w:rFonts w:ascii="Times New Roman" w:hAnsi="Times New Roman"/>
          <w:color w:val="000000"/>
          <w:sz w:val="24"/>
        </w:rPr>
        <w:t xml:space="preserve">. Vroom Parent understands the meaning and legal consequences of the representations, warranties and covenants contained herein. Vroom Parent hereby agrees to indemnify and hold harmless the Purchaser and its Affiliates and its and their directors, officers, managers, members, trustees, stockholders or other equityholders, agents, and legal counsel, from and against any and all loss, damage or liability (including reasonable attorneys’ fees) due to or arising out of a breach of any representation, warranty or covenant of Vroom Parent and/or the Company contained in this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except in the case of liabilities arising out of the Excluded Liabilities or the Company’s Fraud, the aggregate amount of indemnification available pursuant to this </w:t>
      </w:r>
      <w:r>
        <w:rPr>
          <w:rFonts w:ascii="Times New Roman" w:hAnsi="Times New Roman"/>
          <w:color w:val="000000"/>
          <w:sz w:val="24"/>
          <w:u w:val="single"/>
        </w:rPr>
        <w:t>Section 6.2</w:t>
      </w:r>
      <w:r>
        <w:rPr>
          <w:rFonts w:ascii="Times New Roman" w:hAnsi="Times New Roman"/>
          <w:color w:val="000000"/>
          <w:sz w:val="24"/>
        </w:rPr>
        <w:t xml:space="preserve">, if any, shall not exceed the Purchase Price;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Vroom Parent shall not be liable under this </w:t>
      </w:r>
      <w:r>
        <w:rPr>
          <w:rFonts w:ascii="Times New Roman" w:hAnsi="Times New Roman"/>
          <w:color w:val="000000"/>
          <w:sz w:val="24"/>
          <w:u w:val="single"/>
        </w:rPr>
        <w:t xml:space="preserve">Section 6.2 </w:t>
      </w:r>
      <w:r>
        <w:rPr>
          <w:rFonts w:ascii="Times New Roman" w:hAnsi="Times New Roman"/>
          <w:color w:val="000000"/>
          <w:sz w:val="24"/>
        </w:rPr>
        <w:t xml:space="preserve">for any inaccuracy or breach of any of the representations or warranties contained in </w:t>
      </w:r>
      <w:r>
        <w:rPr>
          <w:rFonts w:ascii="Times New Roman" w:hAnsi="Times New Roman"/>
          <w:color w:val="000000"/>
          <w:sz w:val="24"/>
          <w:u w:val="single"/>
        </w:rPr>
        <w:t>Section 2.17(c)</w:t>
      </w:r>
      <w:r>
        <w:rPr>
          <w:rFonts w:ascii="Times New Roman" w:hAnsi="Times New Roman"/>
          <w:color w:val="000000"/>
          <w:sz w:val="24"/>
        </w:rPr>
        <w:t xml:space="preserve"> in the event that the Purchaser had Actual Knowledge of such inaccuracy or breach prior to the Closing. For purposes of the immediately preceding sentence, the “</w:t>
      </w:r>
      <w:r>
        <w:rPr>
          <w:rFonts w:ascii="Times New Roman" w:hAnsi="Times New Roman"/>
          <w:b/>
          <w:i/>
          <w:color w:val="000000"/>
          <w:sz w:val="24"/>
        </w:rPr>
        <w:t>Actual Knowledge</w:t>
      </w:r>
      <w:r>
        <w:rPr>
          <w:rFonts w:ascii="Times New Roman" w:hAnsi="Times New Roman"/>
          <w:color w:val="000000"/>
          <w:sz w:val="24"/>
        </w:rPr>
        <w:t>” of the Purchaser means the actual knowledge of the individual designated by the Purchaser in that certain written notice delivered to Company on January 16, 2026 (the “</w:t>
      </w:r>
      <w:r>
        <w:rPr>
          <w:rFonts w:ascii="Times New Roman" w:hAnsi="Times New Roman"/>
          <w:b/>
          <w:i/>
          <w:color w:val="000000"/>
          <w:sz w:val="24"/>
        </w:rPr>
        <w:t>Purchaser Knowledge Party</w:t>
      </w:r>
      <w:r>
        <w:rPr>
          <w:rFonts w:ascii="Times New Roman" w:hAnsi="Times New Roman"/>
          <w:color w:val="000000"/>
          <w:sz w:val="24"/>
        </w:rPr>
        <w:t xml:space="preserve">”), which knowledge was obtained or otherwise received by such Purchaser Knowledge Party or such Purchaser Knowledge Party’s advisers in any written materials provided to such Purchaser Knowledge Party by or on behalf of the Company. Except in the case of the Company’s or Vroom Parent’s Fraud, this </w:t>
      </w:r>
      <w:r>
        <w:rPr>
          <w:rFonts w:ascii="Times New Roman" w:hAnsi="Times New Roman"/>
          <w:color w:val="000000"/>
          <w:sz w:val="24"/>
          <w:u w:val="single"/>
        </w:rPr>
        <w:t>Section 6.2</w:t>
      </w:r>
      <w:r>
        <w:rPr>
          <w:rFonts w:ascii="Times New Roman" w:hAnsi="Times New Roman"/>
          <w:color w:val="000000"/>
          <w:sz w:val="24"/>
        </w:rPr>
        <w:t xml:space="preserve"> is Purchaser’s (and its Affiliates’) sole and exclusive remedy with respect to any and all claims for any breach of any representation, warranty or covenant of the Company or Vroom Parent set forth 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Voided Payments</w:t>
      </w:r>
      <w:r>
        <w:rPr>
          <w:rFonts w:ascii="Times New Roman" w:hAnsi="Times New Roman"/>
          <w:color w:val="000000"/>
          <w:sz w:val="24"/>
        </w:rPr>
        <w:t>. Notwithstanding anything to the contrary contained in this Agreement, for the avoidance of doubt, if, and to the extent that, any distributions on the Units paid to the Purchaser are subsequently invalidated, declared to be fraudulent or preferential or set aside or are required to be repaid to a trustee, receiver or any other person under any debtor relief law, state or federal law, common law, equitable cause or otherwise (such payment being hereinafter referred to as a “</w:t>
      </w:r>
      <w:r>
        <w:rPr>
          <w:rFonts w:ascii="Times New Roman" w:hAnsi="Times New Roman"/>
          <w:b/>
          <w:i/>
          <w:color w:val="000000"/>
          <w:sz w:val="24"/>
        </w:rPr>
        <w:t>Voided Payment</w:t>
      </w:r>
      <w:r>
        <w:rPr>
          <w:color w:val="000000"/>
        </w:rPr>
        <w:t>”</w:t>
      </w:r>
      <w:r>
        <w:rPr>
          <w:rFonts w:ascii="Times New Roman" w:hAnsi="Times New Roman"/>
          <w:color w:val="000000"/>
          <w:sz w:val="24"/>
        </w:rPr>
        <w:t xml:space="preserve">), then Purchaser’s claim to such distributions shall be revived and shall continue in full force and effect as if such Voided Payment had never been made, and the limitations on Purchaser’s right to recover damages from the Company set forth in </w:t>
      </w:r>
      <w:r>
        <w:rPr>
          <w:rFonts w:ascii="Times New Roman" w:hAnsi="Times New Roman"/>
          <w:color w:val="000000"/>
          <w:sz w:val="24"/>
          <w:u w:val="single"/>
        </w:rPr>
        <w:t>Section 6.2</w:t>
      </w:r>
      <w:r>
        <w:rPr>
          <w:color w:val="000000"/>
        </w:rPr>
        <w:t xml:space="preserve"> </w:t>
      </w:r>
      <w:r>
        <w:rPr>
          <w:rFonts w:ascii="Times New Roman" w:hAnsi="Times New Roman"/>
          <w:color w:val="000000"/>
          <w:sz w:val="24"/>
        </w:rPr>
        <w:t>hereof shall be increased by the amount of any such Voided Payment.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Non-Reliance.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Purchaser is not relying, and the Purchaser has not relied, on any representations or warranties whatsoever regarding the Company, express or implied, except for the representations and warranties set forth in </w:t>
      </w:r>
      <w:r>
        <w:rPr>
          <w:rFonts w:ascii="Times New Roman" w:hAnsi="Times New Roman"/>
          <w:color w:val="000000"/>
          <w:sz w:val="24"/>
          <w:u w:val="single"/>
        </w:rPr>
        <w:t>Section 2</w:t>
      </w:r>
      <w:r>
        <w:rPr>
          <w:rFonts w:ascii="Times New Roman" w:hAnsi="Times New Roman"/>
          <w:color w:val="000000"/>
          <w:sz w:val="24"/>
        </w:rPr>
        <w:t xml:space="preserve">. The representations and warranties set forth in </w:t>
      </w:r>
      <w:r>
        <w:rPr>
          <w:rFonts w:ascii="Times New Roman" w:hAnsi="Times New Roman"/>
          <w:color w:val="000000"/>
          <w:sz w:val="24"/>
          <w:u w:val="single"/>
        </w:rPr>
        <w:t>Section 2</w:t>
      </w:r>
      <w:r>
        <w:rPr>
          <w:rFonts w:ascii="Times New Roman" w:hAnsi="Times New Roman"/>
          <w:color w:val="000000"/>
          <w:sz w:val="24"/>
        </w:rPr>
        <w:t xml:space="preserve"> constitute the sole and exclusive representations and warranties of, or relating to, the Company in connection with this Agreement, and the Purchaser understands, acknowledges and agrees that all other representations and warranties of any kind or nature as to the Company, or any information provided to the Purchaser, whether express, implied or statutory, are specifically disclaimed by the Purchaser.</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and Vroom Parent are not relying, and the Company and Vroom Parent have not relied, on any representations or warranties whatsoever regarding the Purchaser, express or implied, except for the representations and warranties set forth in </w:t>
      </w:r>
      <w:r>
        <w:rPr>
          <w:rFonts w:ascii="Times New Roman" w:hAnsi="Times New Roman"/>
          <w:color w:val="000000"/>
          <w:sz w:val="24"/>
          <w:u w:val="single"/>
        </w:rPr>
        <w:t>Section 3</w:t>
      </w:r>
      <w:r>
        <w:rPr>
          <w:rFonts w:ascii="Times New Roman" w:hAnsi="Times New Roman"/>
          <w:color w:val="000000"/>
          <w:sz w:val="24"/>
        </w:rPr>
        <w:t xml:space="preserve">. The representations and warranties set forth in </w:t>
      </w:r>
      <w:r>
        <w:rPr>
          <w:rFonts w:ascii="Times New Roman" w:hAnsi="Times New Roman"/>
          <w:color w:val="000000"/>
          <w:sz w:val="24"/>
          <w:u w:val="single"/>
        </w:rPr>
        <w:t>Section 3</w:t>
      </w:r>
      <w:r>
        <w:rPr>
          <w:rFonts w:ascii="Times New Roman" w:hAnsi="Times New Roman"/>
          <w:color w:val="000000"/>
          <w:sz w:val="24"/>
        </w:rPr>
        <w:t xml:space="preserve"> constitute the sole and exclusive representations and warranties of, or relating to, the Purchaser in connection with this Agreement, and the Company and Vroom Parent understand, acknowledge and agree that all other representations and warranties of any kind or nature as to the Purchaser, or any information provided to the Company or Vroom Parent, whether express, implied or statutory, are specifically disclaimed by the Company and Vroom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Punitive Damages; Other Losses</w:t>
      </w:r>
      <w:r>
        <w:rPr>
          <w:rFonts w:ascii="Times New Roman" w:hAnsi="Times New Roman"/>
          <w:color w:val="000000"/>
          <w:sz w:val="24"/>
        </w:rPr>
        <w:t xml:space="preserve">. In no event shall any party hereto be liable to any other party hereto for any punitive damages or any loss of reputation or business opportunity relating to the breach or alleged breach of the representations, warranties or covenants contained in this Agreement.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Survival of Warranties</w:t>
      </w:r>
      <w:r>
        <w:rPr>
          <w:rFonts w:ascii="Times New Roman" w:hAnsi="Times New Roman"/>
          <w:color w:val="000000"/>
          <w:sz w:val="24"/>
        </w:rPr>
        <w:t xml:space="preserve">. The representations and warranties of Vroom Parent, the Company and the Purchaser contained in or made pursuant to this Agreement shall survive the execution and delivery of this Agreement and the Closing until the date that is sixty (60) days following the expiration of the applicable statute of limitations (or the six (6) year anniversary of the Closing in the event that no statute of limitation applies) (in any event, in each case, except to the extent a claim for indemnification has been made prior to such time for any breach thereof, in which event the representation or warranty and the associated rights of indemnification shall survive until such claim has been fully and finally resolved or is abandoned);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the representations and warranties in </w:t>
      </w:r>
      <w:r>
        <w:rPr>
          <w:rFonts w:ascii="Times New Roman" w:hAnsi="Times New Roman"/>
          <w:color w:val="000000"/>
          <w:sz w:val="24"/>
          <w:u w:val="single"/>
        </w:rPr>
        <w:t>Section 2.13</w:t>
      </w:r>
      <w:r>
        <w:rPr>
          <w:rFonts w:ascii="Times New Roman" w:hAnsi="Times New Roman"/>
          <w:color w:val="000000"/>
          <w:sz w:val="24"/>
        </w:rPr>
        <w:t xml:space="preserve"> shall survive indefinitely.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Successors and Assigns</w:t>
      </w:r>
      <w:r>
        <w:rPr>
          <w:rFonts w:ascii="Times New Roman" w:hAnsi="Times New Roman"/>
          <w:color w:val="000000"/>
          <w:sz w:val="24"/>
        </w:rPr>
        <w:t xml:space="preserve">.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Governing Law</w:t>
      </w:r>
      <w:r>
        <w:rPr>
          <w:rFonts w:ascii="Times New Roman" w:hAnsi="Times New Roman"/>
          <w:color w:val="000000"/>
          <w:sz w:val="24"/>
        </w:rPr>
        <w:t>. This Agreement shall be governed by the internal law of the State of Delaware, without regard to conflict of law principles that would result in the application of any law other than the law of the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xml:space="preserve">.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i/>
          <w:color w:val="000000"/>
          <w:sz w:val="24"/>
        </w:rPr>
        <w:t>e.g.</w:t>
      </w:r>
      <w:r>
        <w:rPr>
          <w:rFonts w:ascii="Times New Roman" w:hAnsi="Times New Roman"/>
          <w:color w:val="000000"/>
          <w:sz w:val="24"/>
        </w:rPr>
        <w:t>, www.docusign.com) or other transmission method and any counterpart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Titles and Subtitles</w:t>
      </w:r>
      <w:r>
        <w:rPr>
          <w:rFonts w:ascii="Times New Roman" w:hAnsi="Times New Roman"/>
          <w:color w:val="000000"/>
          <w:sz w:val="24"/>
        </w:rPr>
        <w:t>. The titles and subtitles used in this Agreement are used for convenience only and are not to be considered in construing or interpreting this Agreement.</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Notices</w:t>
      </w:r>
      <w:r>
        <w:rPr>
          <w:rFonts w:ascii="Times New Roman" w:hAnsi="Times New Roman"/>
          <w:color w:val="000000"/>
          <w:sz w:val="24"/>
        </w:rPr>
        <w:t xml:space="preserve">. All notices and other communications given or made pursuant to this Agreement shall be in writing (including electronic mail as permitted in this Agreement) and shall be deemed effectively given upon the earlier of actual receipt, or (a) personal delivery to the party to be notified, (b) when sent, if sent by electronic mail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set forth below, or to such email address as subsequently modified by written notice given in accordance with this </w:t>
      </w:r>
      <w:r>
        <w:rPr>
          <w:rFonts w:ascii="Times New Roman" w:hAnsi="Times New Roman"/>
          <w:color w:val="000000"/>
          <w:sz w:val="24"/>
          <w:u w:val="single"/>
        </w:rPr>
        <w:t>Section 7.6</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Company, to:</w:t>
      </w:r>
    </w:p>
    <w:p>
      <w:pPr>
        <w:pStyle w:val="TextBody"/>
        <w:bidi w:val="0"/>
        <w:jc w:val="both"/>
        <w:rPr>
          <w:rFonts w:ascii="Times New Roman" w:hAnsi="Times New Roman"/>
          <w:color w:val="000000"/>
          <w:sz w:val="24"/>
        </w:rPr>
      </w:pPr>
      <w:r>
        <w:rPr>
          <w:rFonts w:ascii="Times New Roman" w:hAnsi="Times New Roman"/>
          <w:color w:val="000000"/>
          <w:sz w:val="24"/>
        </w:rPr>
        <w:t>Vroom Automotive, LLC</w:t>
      </w:r>
    </w:p>
    <w:p>
      <w:pPr>
        <w:pStyle w:val="TextBody"/>
        <w:bidi w:val="0"/>
        <w:jc w:val="both"/>
        <w:rPr>
          <w:rFonts w:ascii="Times New Roman" w:hAnsi="Times New Roman"/>
          <w:color w:val="000000"/>
          <w:sz w:val="24"/>
        </w:rPr>
      </w:pPr>
      <w:r>
        <w:rPr>
          <w:rFonts w:ascii="Times New Roman" w:hAnsi="Times New Roman"/>
          <w:color w:val="000000"/>
          <w:sz w:val="24"/>
        </w:rPr>
        <w:t>4700 Mercantile Drive</w:t>
      </w:r>
    </w:p>
    <w:p>
      <w:pPr>
        <w:pStyle w:val="TextBody"/>
        <w:bidi w:val="0"/>
        <w:jc w:val="both"/>
        <w:rPr>
          <w:rFonts w:ascii="Times New Roman" w:hAnsi="Times New Roman"/>
          <w:color w:val="000000"/>
          <w:sz w:val="24"/>
        </w:rPr>
      </w:pPr>
      <w:r>
        <w:rPr>
          <w:rFonts w:ascii="Times New Roman" w:hAnsi="Times New Roman"/>
          <w:color w:val="000000"/>
          <w:sz w:val="24"/>
        </w:rPr>
        <w:t>Fort Worth, TX 76137</w:t>
      </w:r>
    </w:p>
    <w:p>
      <w:pPr>
        <w:pStyle w:val="TextBody"/>
        <w:bidi w:val="0"/>
        <w:jc w:val="both"/>
        <w:rPr>
          <w:rFonts w:ascii="Times New Roman" w:hAnsi="Times New Roman"/>
          <w:sz w:val="24"/>
        </w:rPr>
      </w:pPr>
      <w:r>
        <w:rPr>
          <w:rFonts w:ascii="Times New Roman" w:hAnsi="Times New Roman"/>
          <w:color w:val="0563C1"/>
          <w:sz w:val="24"/>
        </w:rPr>
        <w:t>legal@vroom.com</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Attn: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to Vroom Parent, to: </w:t>
      </w:r>
    </w:p>
    <w:p>
      <w:pPr>
        <w:pStyle w:val="TextBody"/>
        <w:bidi w:val="0"/>
        <w:jc w:val="both"/>
        <w:rPr>
          <w:rFonts w:ascii="Times New Roman" w:hAnsi="Times New Roman"/>
          <w:color w:val="000000"/>
          <w:sz w:val="24"/>
        </w:rPr>
      </w:pPr>
      <w:r>
        <w:rPr>
          <w:rFonts w:ascii="Times New Roman" w:hAnsi="Times New Roman"/>
          <w:color w:val="000000"/>
          <w:sz w:val="24"/>
        </w:rPr>
        <w:t>Vroom, Inc.</w:t>
      </w:r>
    </w:p>
    <w:p>
      <w:pPr>
        <w:pStyle w:val="TextBody"/>
        <w:bidi w:val="0"/>
        <w:jc w:val="both"/>
        <w:rPr>
          <w:rFonts w:ascii="Times New Roman" w:hAnsi="Times New Roman"/>
          <w:color w:val="000000"/>
          <w:sz w:val="24"/>
        </w:rPr>
      </w:pPr>
      <w:r>
        <w:rPr>
          <w:rFonts w:ascii="Times New Roman" w:hAnsi="Times New Roman"/>
          <w:color w:val="000000"/>
          <w:sz w:val="24"/>
        </w:rPr>
        <w:t>4700 Mercantile Drive</w:t>
      </w:r>
    </w:p>
    <w:p>
      <w:pPr>
        <w:pStyle w:val="TextBody"/>
        <w:bidi w:val="0"/>
        <w:jc w:val="both"/>
        <w:rPr>
          <w:rFonts w:ascii="Times New Roman" w:hAnsi="Times New Roman"/>
          <w:color w:val="000000"/>
          <w:sz w:val="24"/>
        </w:rPr>
      </w:pPr>
      <w:r>
        <w:rPr>
          <w:rFonts w:ascii="Times New Roman" w:hAnsi="Times New Roman"/>
          <w:color w:val="000000"/>
          <w:sz w:val="24"/>
        </w:rPr>
        <w:t>Fort Worth, TX 76137</w:t>
      </w:r>
    </w:p>
    <w:p>
      <w:pPr>
        <w:pStyle w:val="TextBody"/>
        <w:bidi w:val="0"/>
        <w:jc w:val="both"/>
        <w:rPr>
          <w:rFonts w:ascii="Times New Roman" w:hAnsi="Times New Roman"/>
          <w:sz w:val="24"/>
        </w:rPr>
      </w:pPr>
      <w:r>
        <w:rPr>
          <w:rFonts w:ascii="Times New Roman" w:hAnsi="Times New Roman"/>
          <w:color w:val="0563C1"/>
          <w:sz w:val="24"/>
        </w:rPr>
        <w:t>legal@vroom.com</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Attn: Chief Legal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Purchaser, to:</w:t>
      </w:r>
    </w:p>
    <w:p>
      <w:pPr>
        <w:pStyle w:val="TextBody"/>
        <w:bidi w:val="0"/>
        <w:jc w:val="left"/>
        <w:rPr>
          <w:rFonts w:ascii="Times New Roman" w:hAnsi="Times New Roman"/>
          <w:color w:val="000000"/>
          <w:sz w:val="24"/>
        </w:rPr>
      </w:pPr>
      <w:r>
        <w:rPr>
          <w:rFonts w:ascii="Times New Roman" w:hAnsi="Times New Roman"/>
          <w:color w:val="000000"/>
          <w:sz w:val="24"/>
        </w:rPr>
        <w:t>SPE Holdings 2026-1</w:t>
        <w:br/>
        <w:t>c/o UMB Delaware Inc.</w:t>
      </w:r>
    </w:p>
    <w:p>
      <w:pPr>
        <w:pStyle w:val="TextBody"/>
        <w:bidi w:val="0"/>
        <w:jc w:val="left"/>
        <w:rPr>
          <w:rFonts w:ascii="Times New Roman" w:hAnsi="Times New Roman"/>
          <w:color w:val="000000"/>
          <w:sz w:val="24"/>
        </w:rPr>
      </w:pPr>
      <w:r>
        <w:rPr>
          <w:rFonts w:ascii="Times New Roman" w:hAnsi="Times New Roman"/>
          <w:color w:val="000000"/>
          <w:sz w:val="24"/>
        </w:rPr>
        <w:t>405 Silverside Road, Suite 101</w:t>
      </w:r>
    </w:p>
    <w:p>
      <w:pPr>
        <w:pStyle w:val="TextBody"/>
        <w:bidi w:val="0"/>
        <w:jc w:val="left"/>
        <w:rPr>
          <w:rFonts w:ascii="Times New Roman" w:hAnsi="Times New Roman"/>
          <w:color w:val="000000"/>
          <w:sz w:val="24"/>
        </w:rPr>
      </w:pPr>
      <w:r>
        <w:rPr>
          <w:rFonts w:ascii="Times New Roman" w:hAnsi="Times New Roman"/>
          <w:color w:val="000000"/>
          <w:sz w:val="24"/>
        </w:rPr>
        <w:t>Wilmington, Delaware 19809</w:t>
        <w:br/>
        <w:br/>
        <w:t>with a copy (which shall not constitute notice) to:</w:t>
        <w:br/>
        <w:br/>
        <w:t>Sidley Austin LLP</w:t>
        <w:br/>
        <w:t>787 Seventh Avenue</w:t>
        <w:br/>
        <w:t>New York, NY 10019</w:t>
        <w:br/>
        <w:t>Attention: Asi Kirmayer, [***] and Robert Garritano</w:t>
        <w:br/>
        <w:t>Email: akirmayer@sidley.com, [***] and rgarritano@sidley.com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7.7</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Finder’s Fees</w:t>
      </w:r>
      <w:r>
        <w:rPr>
          <w:rFonts w:ascii="Times New Roman" w:hAnsi="Times New Roman"/>
          <w:color w:val="000000"/>
          <w:sz w:val="24"/>
        </w:rPr>
        <w:t xml:space="preserve">. Each party represents that it neither is nor will be obligated for any finder’s fee or commission in connection with this transaction. The Company agrees to indemnify and hold harmless the Purchaser from any liability for any commission or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compensation in the nature of a finder’s or broker’s fee arising out of this transaction (and the costs and expenses of defending against such liability or asserted liability) for which the Company or any of its officers, employees or representatives is responsible.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Reimbursable Expenses</w:t>
      </w:r>
      <w:r>
        <w:rPr>
          <w:rFonts w:ascii="Times New Roman" w:hAnsi="Times New Roman"/>
          <w:color w:val="000000"/>
          <w:sz w:val="24"/>
        </w:rPr>
        <w:t>. At the Closing, the Company shall pay the reasonable fees and expenses of Sidley Austin LLP, counsel for the Purchaser, in an amount not to exceed, in the aggregate, [***] (the “</w:t>
      </w:r>
      <w:r>
        <w:rPr>
          <w:rFonts w:ascii="Times New Roman" w:hAnsi="Times New Roman"/>
          <w:b/>
          <w:i/>
          <w:color w:val="000000"/>
          <w:sz w:val="24"/>
        </w:rPr>
        <w:t>Reimbursable Expenses</w:t>
      </w:r>
      <w:r>
        <w:rPr>
          <w:rFonts w:ascii="Times New Roman" w:hAnsi="Times New Roman"/>
          <w:color w:val="000000"/>
          <w:sz w:val="24"/>
        </w:rPr>
        <w:t>”). For administrative convenience, the Company and the Purchaser hereby agree that the Reimbursable Expenses shall be deducted from the Purchase Price at the Closing (but shall otherwise be treated as having been paid by the Company to the Purchaser).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Amendments and Waivers</w:t>
      </w:r>
      <w:r>
        <w:rPr>
          <w:rFonts w:ascii="Times New Roman" w:hAnsi="Times New Roman"/>
          <w:color w:val="000000"/>
          <w:sz w:val="24"/>
        </w:rPr>
        <w:t xml:space="preserve">. Any term of this Agreement may be amended, terminated or waived only with the written consent of the Company and the Purchaser.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hereof shall in no way affect the validity or enforceability of any other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7.11</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Delays or Omissions</w:t>
      </w:r>
      <w:r>
        <w:rPr>
          <w:rFonts w:ascii="Times New Roman" w:hAnsi="Times New Roman"/>
          <w:color w:val="000000"/>
          <w:sz w:val="24"/>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7.12</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Entire Agreement</w:t>
      </w:r>
      <w:r>
        <w:rPr>
          <w:rFonts w:ascii="Times New Roman" w:hAnsi="Times New Roman"/>
          <w:color w:val="000000"/>
          <w:sz w:val="24"/>
        </w:rPr>
        <w:t>. This Agreement (including the Exhibits hereto) and the other Transaction Agreements constitute the full and entire understanding and agreement between the parties with respect to the subject matter hereof, and any other written or oral agreement relating to the subject matter hereof existing between the parties are expressly canceled.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7.13</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Commitment for Additional Financing</w:t>
      </w:r>
      <w:r>
        <w:rPr>
          <w:rFonts w:ascii="Times New Roman" w:hAnsi="Times New Roman"/>
          <w:color w:val="000000"/>
          <w:sz w:val="24"/>
        </w:rPr>
        <w:t xml:space="preserve">. The Company acknowledges and agrees that the Purchaser has not made any representation, undertaking, commitment or agreement to provide or assist the Company in obtaining any financing, investment or other assistance, other than the purchase of the Units as set forth herein and subject to the conditions set forth herein. In addition, the Company acknowledges and agrees that (i) no statements, whether written or oral, made by the Purchaser or its representatives on or after the date of this Agreement shall create an obligation, commitment or agreement to provide or assist the Company in obtaining any financing or investment, (ii) the Company shall not rely on any such statement by the Purchaser or its representatives, and (iii) an obligation, commitment or agreement to provide or assist the Company in obtaining any financing or investment may only be created by a written agreement, signed by the Purchaser and the Company, setting forth the terms and conditions of such financing or investment and stating that the parties intend for such writing to be a binding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obligation or agreement. The Purchaser shall have the right, in its sole and absolute discretion, to refuse or decline to participate in any other financing of or investment in the Company, and shall have no obligation to assist or cooperate with the Company in obtaining any financing, investment or other assistance.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7.14</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Periods of Time</w:t>
      </w:r>
      <w:r>
        <w:rPr>
          <w:rFonts w:ascii="Times New Roman" w:hAnsi="Times New Roman"/>
          <w:color w:val="000000"/>
          <w:sz w:val="24"/>
        </w:rPr>
        <w:t>. When any period of time, computed from a certain day, within which or after which or before which an act is authorized or required to be done under this Agreement, ends on a Saturday, Sunday or public holiday, such act may be done on the next succeeding business day, and if the period ends at a specified hour, such act may be done at or before the same hour of such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7.15</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Submission to Jurisdiction</w:t>
      </w:r>
      <w:r>
        <w:rPr>
          <w:rFonts w:ascii="Times New Roman" w:hAnsi="Times New Roman"/>
          <w:color w:val="000000"/>
          <w:sz w:val="24"/>
        </w:rPr>
        <w:t xml:space="preserve">. Each party hereto irrevocably consents and agrees that any legal action or proceeding with respect to this Agreement and any action for enforcement of any judgment in respect thereof shall be brought in the state courts of the State of Delaware or the United States District Court for the District of Delaware, and, by execution and delivery of this Agreement, each party hereto hereby submits to and accepts for itself and in respect of its property, generally and unconditionally, the exclusive jurisdiction of the aforesaid courts and appellate courts from any appeal thereof. Each party hereto further irrevocably consents to the service of process out of any of the aforementioned courts in any such action or proceeding by the mailing of copies thereof in the manner set forth in </w:t>
      </w:r>
      <w:r>
        <w:rPr>
          <w:rFonts w:ascii="Times New Roman" w:hAnsi="Times New Roman"/>
          <w:color w:val="000000"/>
          <w:sz w:val="24"/>
          <w:u w:val="single"/>
        </w:rPr>
        <w:t>Section 7.6</w:t>
      </w:r>
      <w:r>
        <w:rPr>
          <w:rFonts w:ascii="Times New Roman" w:hAnsi="Times New Roman"/>
          <w:color w:val="000000"/>
          <w:sz w:val="24"/>
        </w:rPr>
        <w:t>. Each party hereto hereby irrevocably waives any objection which it may now or hereafter have to the laying of venue of any of the aforesaid actions or proceedings arising out of or in connection with this Agreement brought in the courts referred to above and hereby further irrevocably waives and agrees not to plead or claim in any such court that any such action or proceeding brought in any such court has been brought in an inconvenient forum. Nothing herein shall affect the right of any party hereto to serve process in any other manner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7.16</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WAIVER OF TRIAL BY JURY</w:t>
      </w:r>
      <w:r>
        <w:rPr>
          <w:rFonts w:ascii="Times New Roman" w:hAnsi="Times New Roman"/>
          <w:color w:val="000000"/>
          <w:sz w:val="24"/>
        </w:rPr>
        <w:t xml:space="preserve">. EACH PARTY HERETO HEREBY IRREVOCABLY WAIVES TRIAL BY JURY IN ANY SUIT, ACTION OR PROCEEDING WITH RESPECT TO, OR DIRECTLY OR INDIRECTLY ARISING OUT OF, UNDER OR IN CONNECTION WITH, THIS AGREEMENT OR THE TRANSACTIONS CONTEMPLATED HEREIN OR RELATED HERETO (WHETHER FOUNDED IN CONTRACT, TORT OR ANY OTHER THEORY). EACH PARTY HERETO (A) CERTIFIES THAT NO OTHER PARTY HERETO HAS REPRESENTED, EXPRESSLY OR OTHERWISE, THAT SUCH OTHER PARTY WOULD NOT, IN THE EVENT OF LITIGATION, SEEK TO ENFORCE THE FOREGOING WAIVER AND (B) ACKNOWLEDGES THAT IT AND THE OTHER PARTIES HERETO HAVE BEEN INDUCED TO ENTER INTO THIS AGREEMENT BY THE MUTUAL WAIVERS AND CERTIFICATIONS IN THIS </w:t>
      </w:r>
      <w:r>
        <w:rPr>
          <w:rFonts w:ascii="Times New Roman" w:hAnsi="Times New Roman"/>
          <w:color w:val="000000"/>
          <w:sz w:val="24"/>
          <w:u w:val="single"/>
        </w:rPr>
        <w:t>SECTION 7.16</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Specific Performance</w:t>
      </w:r>
      <w:r>
        <w:rPr>
          <w:rFonts w:ascii="Times New Roman" w:hAnsi="Times New Roman"/>
          <w:color w:val="000000"/>
          <w:sz w:val="24"/>
        </w:rPr>
        <w:t xml:space="preserve">. Each party hereto acknowledges that the other party hereto would be irreparably damaged in the event of a breach or threatened breach by such party of any of its obligations under this Agreement and hereby agrees that in the event of a breach or a threatened breach by such party of any such obligations, the other party hereto shall, in addition to any and all other rights and remedies that may be available to it in respect of such breach, be entitled to an injunction from a court of competent </w:t>
      </w:r>
      <w:bookmarkStart w:id="4" w:name="elpgbr12"/>
      <w:bookmarkEnd w:id="4"/>
      <w:r>
        <w:rPr>
          <w:rFonts w:ascii="Times New Roman" w:hAnsi="Times New Roman"/>
          <w:color w:val="000000"/>
          <w:sz w:val="24"/>
        </w:rPr>
        <w:t>jurisdiction (without any requirement to post bond) granting such party specific performance by such party of its obligations under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7.18</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Waiver of Conflicts</w:t>
      </w:r>
      <w:r>
        <w:rPr>
          <w:rFonts w:ascii="Times New Roman" w:hAnsi="Times New Roman"/>
          <w:color w:val="000000"/>
          <w:sz w:val="24"/>
        </w:rPr>
        <w:t>. Each party to this Agreement acknowledges that Latham &amp; Watkins LLP, counsel for Vroom Parent and the Company, may have in the past performed, and may continue to or in the future perform, legal services for Purchaser or its Affiliates in matters that are similar, but not substantially related, to the transactions described in this Agreement, including the representation of Purchaser or its Affiliates in venture capital financings and other matters. Accordingly, each party to this Agreement hereby acknowledges that (a) they have had an opportunity to ask for information relevant to this disclosure, and (b) Latham &amp; Watkins LLP represents only Vroom Parent and the Company with respect to the Agreement and the transactions contemplated hereby. Vroom Parent and the Company each gives its informed consent to Latham &amp; Watkins LLP’s existing and/or future representation of Purchaser or its Affiliates in matters not substantially related to this Agreement, and Purchaser gives their informed consent to Latham &amp; Watkins LLP’s representation of Vroom Parent and the Company in connection with this Agreement and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7.19</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Limitation on Recovery for Excluded Assets</w:t>
      </w:r>
      <w:r>
        <w:rPr>
          <w:rFonts w:ascii="Times New Roman" w:hAnsi="Times New Roman"/>
          <w:color w:val="000000"/>
          <w:sz w:val="24"/>
        </w:rPr>
        <w:t xml:space="preserve">. Notwithstanding anything in this Agreement to the contrary, each of the Company, the Purchaser and Vroom Parent agree that there shall be no cap on any amount due to Vroom Parent arising under </w:t>
      </w:r>
      <w:r>
        <w:rPr>
          <w:rFonts w:ascii="Times New Roman" w:hAnsi="Times New Roman"/>
          <w:color w:val="000000"/>
          <w:sz w:val="24"/>
          <w:u w:val="single"/>
        </w:rPr>
        <w:t>Section 2.13(b)(iii)</w:t>
      </w:r>
      <w:r>
        <w:rPr>
          <w:rFonts w:ascii="Times New Roman" w:hAnsi="Times New Roman"/>
          <w:color w:val="000000"/>
          <w:sz w:val="24"/>
        </w:rPr>
        <w:t xml:space="preserv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7.20</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Concerning the Trustee</w:t>
      </w:r>
      <w:r>
        <w:rPr>
          <w:rFonts w:ascii="Times New Roman" w:hAnsi="Times New Roman"/>
          <w:color w:val="000000"/>
          <w:sz w:val="24"/>
        </w:rPr>
        <w:t>. It is expressly understood and agreed by the Company and Vroom Parent that (a) this Agreement is executed and delivered on behalf of the Purchaser by UMB Bank, N.A., not individually or personally but solely in its capacity as trustee on behalf of the Purchaser, in the exercise of the powers and authority conferred and vested in it under the trust agreement governing the Purchaser, (b) each of the representations, undertakings and agreements herein made on the part of the Purchaser is made and intended not as personal representations, undertakings and agreements by UMB Bank, N.A., but is made and intended for the purpose of binding only, and is binding only on, the Purchaser, (c) nothing herein contained shall be construed as creating any liability on UMB Bank, N.A., individually or personally, to perform any covenant either expressed or implied contained herein, all such liability, if any, being expressly waived by the parties hereto and by any Person claiming by, through or under the parties hereto, (d) UMB Bank, N.A. has made no investigation as to the accuracy or completeness of any representations or warranties made by the Purchaser in this Agreement, and (e) under no circumstances shall UMB Bank, N.A. be personally liable for the payment of any indebtedness, indemnities or expenses (including any arbitration or enforcement related expenses) of the Purchaser or be liable for the performance, breach or failure of any obligation, representation, warranty or covenant made or undertaken by the Purchaser under this Agreement or any other related documents as to all of which recourse shall be had solely to the assets of the Purchaser.</w:t>
      </w:r>
    </w:p>
    <w:p>
      <w:pPr>
        <w:pStyle w:val="TextBody"/>
        <w:bidi w:val="0"/>
        <w:spacing w:before="0" w:after="240"/>
        <w:jc w:val="both"/>
        <w:rPr/>
      </w:pPr>
      <w:r>
        <w:rPr/>
        <w:t> </w:t>
      </w:r>
    </w:p>
    <w:p>
      <w:pPr>
        <w:pStyle w:val="Heading2"/>
        <w:bidi w:val="0"/>
        <w:spacing w:before="0" w:after="240"/>
        <w:jc w:val="center"/>
        <w:rPr>
          <w:rFonts w:ascii="Times New Roman" w:hAnsi="Times New Roman"/>
          <w:sz w:val="24"/>
        </w:rPr>
      </w:pPr>
      <w:r>
        <w:rPr>
          <w:rFonts w:ascii="Times New Roman" w:hAnsi="Times New Roman"/>
          <w:b w:val="false"/>
          <w:color w:val="000000"/>
          <w:sz w:val="24"/>
        </w:rPr>
        <w:t>(</w:t>
      </w:r>
      <w:r>
        <w:rPr>
          <w:rFonts w:ascii="Times New Roman" w:hAnsi="Times New Roman"/>
          <w:b w:val="false"/>
          <w:i/>
          <w:color w:val="000000"/>
          <w:sz w:val="24"/>
        </w:rPr>
        <w:t>Signature pages follow</w:t>
      </w:r>
      <w:r>
        <w:rPr>
          <w:rFonts w:ascii="Times New Roman" w:hAnsi="Times New Roman"/>
          <w:b w:val="false"/>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the parties have executed this Agreement as of the date first written above.</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VROOM AUTOMOTIVE, LLC</w:t>
      </w:r>
    </w:p>
    <w:p>
      <w:pPr>
        <w:pStyle w:val="TextBody"/>
        <w:bidi w:val="0"/>
        <w:spacing w:before="0" w:after="24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br/>
        <w:t xml:space="preserve">By: </w:t>
      </w:r>
      <w:r>
        <w:rPr>
          <w:rFonts w:ascii="Times New Roman" w:hAnsi="Times New Roman"/>
          <w:color w:val="000000"/>
          <w:sz w:val="24"/>
          <w:u w:val="single"/>
        </w:rPr>
        <w:t xml:space="preserve">/s/ Jonathan Sandison </w:t>
      </w:r>
      <w:r>
        <w:rPr>
          <w:rFonts w:ascii="Times New Roman" w:hAnsi="Times New Roman"/>
          <w:color w:val="000000"/>
          <w:sz w:val="24"/>
        </w:rPr>
        <w:br/>
        <w:t>Name: Jonathan Sandison</w:t>
        <w:br/>
        <w:t>Title: Chief Financial Officer</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VROOM PARENT: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VROOM, INC.</w:t>
      </w:r>
    </w:p>
    <w:p>
      <w:pPr>
        <w:pStyle w:val="TextBody"/>
        <w:bidi w:val="0"/>
        <w:spacing w:before="0" w:after="24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br/>
        <w:t xml:space="preserve">By: </w:t>
      </w:r>
      <w:r>
        <w:rPr>
          <w:rFonts w:ascii="Times New Roman" w:hAnsi="Times New Roman"/>
          <w:color w:val="000000"/>
          <w:sz w:val="24"/>
          <w:u w:val="single"/>
        </w:rPr>
        <w:t xml:space="preserve">/s/ Thomas Shortt </w:t>
      </w:r>
      <w:r>
        <w:rPr>
          <w:rFonts w:ascii="Times New Roman" w:hAnsi="Times New Roman"/>
          <w:color w:val="000000"/>
          <w:sz w:val="24"/>
        </w:rPr>
        <w:br/>
        <w:t>Name: Thomas Shortt</w:t>
        <w:br/>
        <w:t>Title: Chief Executive Officer</w:t>
      </w:r>
    </w:p>
    <w:p>
      <w:pPr>
        <w:pStyle w:val="TextBody"/>
        <w:bidi w:val="0"/>
        <w:spacing w:before="0" w:after="240"/>
        <w:jc w:val="left"/>
        <w:rPr/>
      </w:pPr>
      <w:r>
        <w:rPr/>
        <w:t> </w:t>
      </w:r>
    </w:p>
    <w:p>
      <w:pPr>
        <w:pStyle w:val="TextBody"/>
        <w:bidi w:val="0"/>
        <w:jc w:val="center"/>
        <w:rPr>
          <w:rFonts w:ascii="Times New Roman" w:hAnsi="Times New Roman"/>
          <w:sz w:val="20"/>
        </w:rPr>
      </w:pPr>
      <w:r>
        <w:rPr>
          <w:rFonts w:ascii="Times New Roman" w:hAnsi="Times New Roman"/>
          <w:b/>
          <w:smallCaps/>
          <w:color w:val="000000"/>
          <w:sz w:val="20"/>
        </w:rPr>
        <w:t>[</w:t>
      </w:r>
      <w:r>
        <w:rPr>
          <w:rFonts w:ascii="Times New Roman" w:hAnsi="Times New Roman"/>
          <w:i/>
          <w:color w:val="000000"/>
          <w:sz w:val="20"/>
        </w:rPr>
        <w:t>Signature Page to Preferred Unit Purchase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IN WITNESS WHEREOF</w:t>
      </w:r>
      <w:r>
        <w:rPr>
          <w:rFonts w:ascii="Times New Roman" w:hAnsi="Times New Roman"/>
          <w:color w:val="000000"/>
          <w:sz w:val="24"/>
        </w:rPr>
        <w:t>, the parties have executed this Agreement as of the date first written above.</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PURCHASER: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SPE HOLDINGS 2026-1</w:t>
        <w:br/>
        <w:br/>
        <w:t>By: UMB Bank, N.A., not in its individual capacity but solely as Trustee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w:t>
      </w:r>
    </w:p>
    <w:p>
      <w:pPr>
        <w:pStyle w:val="TextBody"/>
        <w:bidi w:val="0"/>
        <w:jc w:val="left"/>
        <w:rPr>
          <w:rFonts w:ascii="Times New Roman" w:hAnsi="Times New Roman"/>
          <w:color w:val="000000"/>
          <w:sz w:val="24"/>
        </w:rPr>
      </w:pPr>
      <w:r>
        <w:rPr>
          <w:rFonts w:ascii="Times New Roman" w:hAnsi="Times New Roman"/>
          <w:color w:val="000000"/>
          <w:sz w:val="24"/>
        </w:rPr>
        <w:t>Name: [***]</w:t>
      </w:r>
    </w:p>
    <w:p>
      <w:pPr>
        <w:pStyle w:val="TextBody"/>
        <w:bidi w:val="0"/>
        <w:jc w:val="left"/>
        <w:rPr>
          <w:rFonts w:ascii="Times New Roman" w:hAnsi="Times New Roman"/>
          <w:color w:val="000000"/>
          <w:sz w:val="24"/>
        </w:rPr>
      </w:pPr>
      <w:r>
        <w:rPr>
          <w:rFonts w:ascii="Times New Roman" w:hAnsi="Times New Roman"/>
          <w:color w:val="000000"/>
          <w:sz w:val="24"/>
        </w:rPr>
        <w:t>Title: [***]</w:t>
      </w:r>
    </w:p>
    <w:p>
      <w:pPr>
        <w:pStyle w:val="TextBody"/>
        <w:bidi w:val="0"/>
        <w:spacing w:before="0" w:after="24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smallCaps/>
          <w:color w:val="000000"/>
          <w:sz w:val="20"/>
        </w:rPr>
        <w:t>[</w:t>
      </w:r>
      <w:r>
        <w:rPr>
          <w:rFonts w:ascii="Times New Roman" w:hAnsi="Times New Roman"/>
          <w:i/>
          <w:color w:val="000000"/>
          <w:sz w:val="20"/>
        </w:rPr>
        <w:t>Signature Page to Preferred Unit Purchase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bookmarkStart w:id="5" w:name="exhibitb1"/>
      <w:bookmarkEnd w:id="5"/>
      <w:r>
        <w:rPr>
          <w:rFonts w:ascii="Times New Roman" w:hAnsi="Times New Roman"/>
          <w:b/>
          <w:color w:val="000000"/>
          <w:sz w:val="24"/>
          <w:u w:val="single"/>
        </w:rPr>
        <w:t>EXHIBIT A</w:t>
      </w:r>
    </w:p>
    <w:p>
      <w:pPr>
        <w:pStyle w:val="TextBody"/>
        <w:bidi w:val="0"/>
        <w:jc w:val="center"/>
        <w:rPr>
          <w:rFonts w:ascii="Times New Roman" w:hAnsi="Times New Roman"/>
          <w:b/>
          <w:color w:val="000000"/>
          <w:sz w:val="24"/>
        </w:rPr>
      </w:pPr>
      <w:r>
        <w:rPr>
          <w:rFonts w:ascii="Times New Roman" w:hAnsi="Times New Roman"/>
          <w:b/>
          <w:color w:val="000000"/>
          <w:sz w:val="24"/>
        </w:rPr>
        <w:t>RESTATED COMPANY AGREEMENT</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bookmarkStart w:id="6" w:name="exhibitc"/>
      <w:bookmarkEnd w:id="6"/>
      <w:r>
        <w:rPr>
          <w:rFonts w:ascii="Times New Roman" w:hAnsi="Times New Roman"/>
          <w:b/>
          <w:color w:val="000000"/>
          <w:sz w:val="24"/>
          <w:u w:val="single"/>
        </w:rPr>
        <w:t>EXHIBIT B</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DISCLOSURE SCHEDULES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CORPORATE OPINION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7" w:name="vrm-ex10_2.htm"/>
      <w:bookmarkStart w:id="8" w:name="ksvrmex10_2"/>
      <w:bookmarkEnd w:id="7"/>
      <w:bookmarkEnd w:id="8"/>
      <w:r>
        <w:rPr>
          <w:rFonts w:ascii="Times New Roman" w:hAnsi="Times New Roman"/>
          <w:b/>
          <w:i/>
          <w:color w:val="000000"/>
          <w:sz w:val="24"/>
        </w:rPr>
        <w:t>Execution Version</w:t>
      </w:r>
      <w:r>
        <w:br w:type="page"/>
      </w:r>
    </w:p>
    <w:p>
      <w:pPr>
        <w:pStyle w:val="TextBody"/>
        <w:bidi w:val="0"/>
        <w:jc w:val="left"/>
        <w:rPr/>
      </w:pPr>
      <w:r>
        <w:rPr/>
        <w:t> </w:t>
      </w:r>
    </w:p>
    <w:p>
      <w:pPr>
        <w:pStyle w:val="TextBody"/>
        <w:bidi w:val="0"/>
        <w:jc w:val="center"/>
        <w:rPr>
          <w:rFonts w:ascii="Times New Roman" w:hAnsi="Times New Roman"/>
          <w:sz w:val="24"/>
        </w:rPr>
      </w:pPr>
      <w:r>
        <w:rPr>
          <w:rFonts w:ascii="Times New Roman" w:hAnsi="Times New Roman"/>
          <w:b/>
          <w:color w:val="000000"/>
          <w:sz w:val="24"/>
        </w:rPr>
        <w:t>THIRD AMENDED AND RESTATED</w:t>
      </w:r>
      <w:r>
        <w:rPr>
          <w:rFonts w:ascii="Times New Roman" w:hAnsi="Times New Roman"/>
          <w:color w:val="000000"/>
          <w:sz w:val="24"/>
        </w:rPr>
        <w:br/>
        <w:br/>
      </w:r>
      <w:r>
        <w:rPr>
          <w:rFonts w:ascii="Times New Roman" w:hAnsi="Times New Roman"/>
          <w:b/>
          <w:color w:val="000000"/>
          <w:sz w:val="24"/>
        </w:rPr>
        <w:t>LIMITED LIABILITY COMPANY AGREEMENT</w:t>
      </w:r>
      <w:r>
        <w:rPr>
          <w:rFonts w:ascii="Times New Roman" w:hAnsi="Times New Roman"/>
          <w:color w:val="000000"/>
          <w:sz w:val="24"/>
        </w:rPr>
        <w:br/>
        <w:br/>
      </w:r>
      <w:r>
        <w:rPr>
          <w:rFonts w:ascii="Times New Roman" w:hAnsi="Times New Roman"/>
          <w:b/>
          <w:color w:val="000000"/>
          <w:sz w:val="24"/>
        </w:rPr>
        <w:t>OF</w:t>
      </w:r>
      <w:r>
        <w:rPr>
          <w:rFonts w:ascii="Times New Roman" w:hAnsi="Times New Roman"/>
          <w:color w:val="000000"/>
          <w:sz w:val="24"/>
        </w:rPr>
        <w:br/>
        <w:br/>
      </w:r>
      <w:r>
        <w:rPr>
          <w:rFonts w:ascii="Times New Roman" w:hAnsi="Times New Roman"/>
          <w:b/>
          <w:color w:val="000000"/>
          <w:sz w:val="24"/>
        </w:rPr>
        <w:t>VROOM AUTOMOTIVE, LLC,</w:t>
      </w:r>
      <w:r>
        <w:rPr>
          <w:rFonts w:ascii="Times New Roman" w:hAnsi="Times New Roman"/>
          <w:color w:val="000000"/>
          <w:sz w:val="24"/>
        </w:rPr>
        <w:br/>
        <w:br/>
      </w:r>
      <w:r>
        <w:rPr>
          <w:rFonts w:ascii="Times New Roman" w:hAnsi="Times New Roman"/>
          <w:b/>
          <w:color w:val="000000"/>
          <w:sz w:val="24"/>
        </w:rPr>
        <w:t>A DELAWARE LIMITED LIABILITY COMPANY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Dated as of September 30, 2026</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MEMBERSHIP INTERESTS AND UNITS REPRESENTED BY THIS THIRD AMENDED AND RESTATED LIMITED LIABILITY COMPANY AGREEMENT HAVE NOT BEEN REGISTERED UNDER THE UNITED STATES SECURITIES ACT OF 1933, AS AMENDED, OR UNDER ANY OTHER APPLICABLE SECURITIES LAWS. SUCH INTERESTS MAY NOT BE SOLD, OFFERED, ASSIGNED, PLEDGED OR OTHERWISE DISPOSED OF AT ANY TIME WITHOUT EFFECTIVE REGISTRATION UNDER SUCH ACT AND LAWS OR EXEMPTION THEREFROM, AND COMPLIANCE WITH THE OTHER SUBSTANTIAL RESTRICTIONS ON TRANSFER SET FORTH HEREIN.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SUCH INTERESTS ARE ALSO SUBJECT TO ADDITIONAL RESTRICTIONS ON TRANSFER SPECIFIED IN THIS AGREEMENT, AND THE COMPANY RESERVES THE RIGHT TO REFUSE THE TRANSFER OF SUCH INTERESTS UNTIL SUCH CONDITIONS HAVE BEEN FULFILLED WITH RESPECT TO ANY TRANSFER.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38"/>
        <w:gridCol w:w="4707"/>
        <w:gridCol w:w="2360"/>
      </w:tblGrid>
      <w:tr>
        <w:trPr/>
        <w:tc>
          <w:tcPr>
            <w:tcW w:w="3138" w:type="dxa"/>
            <w:tcBorders/>
            <w:vAlign w:val="center"/>
          </w:tcPr>
          <w:p>
            <w:pPr>
              <w:pStyle w:val="TableContents"/>
              <w:bidi w:val="0"/>
              <w:spacing w:before="0" w:after="283"/>
              <w:jc w:val="left"/>
              <w:rPr>
                <w:sz w:val="4"/>
                <w:szCs w:val="4"/>
              </w:rPr>
            </w:pPr>
            <w:r>
              <w:rPr>
                <w:sz w:val="4"/>
                <w:szCs w:val="4"/>
              </w:rPr>
            </w:r>
          </w:p>
        </w:tc>
        <w:tc>
          <w:tcPr>
            <w:tcW w:w="4707"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1</w:t>
              <w:br/>
              <w:t>DEFINITIONS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7</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2</w:t>
              <w:br/>
              <w:t>ORGANIZATION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2.01</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Formation of Company</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2.02</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Name</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2.03</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Office; Agent for Service of Process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2.04</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Term</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2.05</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Purpose and Scope.</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23</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2.06</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Authorized Acts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24</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2.07</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Fiscal Year</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25</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2.08</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Separateness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25</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3</w:t>
              <w:br/>
              <w:t>CONTRIBUTIONS; UNITS; ISSUANCES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26</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3.01</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Initial Capital Contributions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26</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3.02</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Additional Capital Contributions; Additional Members.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26</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3.03</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Additional Equity Financings; Permitted Asset Contributions.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27</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3.04</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Right of First Refusal.</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27</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3.05</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Preemptive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28</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3.06</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Interest Payments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29</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3.07</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Ownership and Issuance of Units; Ranking.</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29</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3.08</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Conversion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31</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3.09</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Voting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32</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3.10</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Appraisal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34</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3.11</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Withdrawals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34</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3.12</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Liability of the Members Generally</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35</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4</w:t>
              <w:br/>
              <w:t>MANAGEMENT</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35</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4.01</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Management and Control of the Company.</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35</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4.02</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Actions by the Board of Managers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38</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4.03</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Expenses.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38</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4.04</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Exculpation.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39</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4.05</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Indemnification.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40</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4.06</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Business Opportunity</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41</w:t>
            </w:r>
          </w:p>
        </w:tc>
      </w:tr>
      <w:tr>
        <w:trPr/>
        <w:tc>
          <w:tcPr>
            <w:tcW w:w="313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4.07</w:t>
            </w:r>
          </w:p>
        </w:tc>
        <w:tc>
          <w:tcPr>
            <w:tcW w:w="470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Elimination of Liability and Fiduciary Duties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41</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213"/>
        <w:gridCol w:w="4632"/>
        <w:gridCol w:w="2360"/>
      </w:tblGrid>
      <w:tr>
        <w:trPr/>
        <w:tc>
          <w:tcPr>
            <w:tcW w:w="3213" w:type="dxa"/>
            <w:tcBorders/>
            <w:vAlign w:val="center"/>
          </w:tcPr>
          <w:p>
            <w:pPr>
              <w:pStyle w:val="TableContents"/>
              <w:bidi w:val="0"/>
              <w:spacing w:before="0" w:after="283"/>
              <w:jc w:val="left"/>
              <w:rPr>
                <w:sz w:val="4"/>
                <w:szCs w:val="4"/>
              </w:rPr>
            </w:pPr>
            <w:r>
              <w:rPr>
                <w:sz w:val="4"/>
                <w:szCs w:val="4"/>
              </w:rPr>
            </w:r>
          </w:p>
        </w:tc>
        <w:tc>
          <w:tcPr>
            <w:tcW w:w="4632"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5</w:t>
              <w:br/>
              <w:t>DISTRIBUTIONS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41</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5.01</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Preferred Accruing Distributions.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41</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5.02</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General Distributions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43</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5.03</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Restricted Distributions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43</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5.04</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Distributions of Securities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44</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5.05</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Distributions upon a Liquidation Event</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44</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6</w:t>
              <w:br/>
              <w:t>ACCOUNTING AND TAX MATTERS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45</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6.01</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Books and Records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45</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6.02</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Tax Returns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45</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6.03</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Withholding Tax Payments and Obligations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45</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6.04</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Other Member Obligations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46</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6.05</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Tax Treatment</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47</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6.06</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Other Tax Matters.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47</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7</w:t>
              <w:br/>
              <w:t>TRANSFERS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47</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7.01</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Transfer in General.</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47</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7.02</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Admission of Members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48</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7.03</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Transfers in Violation of Agreement</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48</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8</w:t>
              <w:br/>
              <w:t>REDEMPTION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48</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8.01</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Mandatory Redemption of Series A Preferred Units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48</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8.02</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Mandatory Redemption of Series A1 Preferred Units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49</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8.03</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Mandatory Redemption of Series B Preferred Units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49</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8.04</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Mandatory Redemption of Series B1 Preferred Units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49</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8.05</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Change of Control Redemption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50</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8.06</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382 Change Transaction.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50</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8.07</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Optional Redemption of Preferred Units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51</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8.08</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Company’s Inability to Satisfy Obligations.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51</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8.09</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Redemption Transaction Requirements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52</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8.10</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Series B Participation Right.</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52</w:t>
            </w:r>
          </w:p>
        </w:tc>
      </w:tr>
      <w:tr>
        <w:trPr/>
        <w:tc>
          <w:tcPr>
            <w:tcW w:w="321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8.11</w:t>
            </w:r>
          </w:p>
        </w:tc>
        <w:tc>
          <w:tcPr>
            <w:tcW w:w="463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Creditor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54</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9</w:t>
              <w:br/>
              <w:t>DISSOLUTION; LIQUIDATION</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54</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198"/>
        <w:gridCol w:w="4647"/>
        <w:gridCol w:w="2360"/>
      </w:tblGrid>
      <w:tr>
        <w:trPr/>
        <w:tc>
          <w:tcPr>
            <w:tcW w:w="3198" w:type="dxa"/>
            <w:tcBorders/>
            <w:vAlign w:val="center"/>
          </w:tcPr>
          <w:p>
            <w:pPr>
              <w:pStyle w:val="TableContents"/>
              <w:bidi w:val="0"/>
              <w:spacing w:before="0" w:after="283"/>
              <w:jc w:val="left"/>
              <w:rPr>
                <w:sz w:val="4"/>
                <w:szCs w:val="4"/>
              </w:rPr>
            </w:pPr>
            <w:r>
              <w:rPr>
                <w:sz w:val="4"/>
                <w:szCs w:val="4"/>
              </w:rPr>
            </w:r>
          </w:p>
        </w:tc>
        <w:tc>
          <w:tcPr>
            <w:tcW w:w="4647"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ind w:left="0" w:right="0" w:firstLine="1968"/>
              <w:jc w:val="left"/>
              <w:rPr>
                <w:sz w:val="4"/>
                <w:szCs w:val="4"/>
              </w:rPr>
            </w:pPr>
            <w:r>
              <w:rPr>
                <w:sz w:val="4"/>
                <w:szCs w:val="4"/>
              </w:rPr>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9.01</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Dissolution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54</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9.02</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Final Accounting</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9.03</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Liquidation.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9.04</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Cancellation of Certificate</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55</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10</w:t>
              <w:br/>
              <w:t>AMENDMENTS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10.01</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Amendments by the Members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55</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11</w:t>
              <w:br/>
              <w:t>NOTICES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56</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11.01</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Notices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56</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12</w:t>
              <w:br/>
              <w:t>COVENANTS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57</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12.01</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Confidentiality</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57</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12.02</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Residual Interests.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58</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12.03</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Regulatory Compliance</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58</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12.04</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Information Rights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59</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12.05</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Further Assurances; Additional Documents.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60</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12.06</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Permitted Asset Base</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61</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12.07</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Excluded Assets and Liabilities.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61</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12.08</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Prohibited Persons.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62</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12.09</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Listed Transactions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62</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12.10</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Agreements by Vroom Parent.</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62</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12.11</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Employee Matters.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63</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12.12</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Investment Company</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64</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12.13</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Mandatory Exercise of Loan and Security Agreement Remedies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64</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12.14</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Concerning the Trustee</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64</w:t>
            </w:r>
          </w:p>
        </w:tc>
      </w:tr>
      <w:tr>
        <w:trPr/>
        <w:tc>
          <w:tcPr>
            <w:tcW w:w="7845" w:type="dxa"/>
            <w:gridSpan w:val="2"/>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Article 13</w:t>
              <w:br/>
              <w:t>GENERAL PROVISIONS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13.01</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Governing Law</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13.02</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Counterparts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13.03</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Construction; Headings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65</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13.04</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Severability</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66</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13.05</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Relations with Members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66</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13.06</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Waiver of Action for Partition</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66</w:t>
            </w:r>
          </w:p>
        </w:tc>
      </w:tr>
      <w:tr>
        <w:trPr/>
        <w:tc>
          <w:tcPr>
            <w:tcW w:w="3198"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13.07</w:t>
            </w:r>
          </w:p>
        </w:tc>
        <w:tc>
          <w:tcPr>
            <w:tcW w:w="4647"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Successors and Assigns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66</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103"/>
        <w:gridCol w:w="4742"/>
        <w:gridCol w:w="2360"/>
      </w:tblGrid>
      <w:tr>
        <w:trPr/>
        <w:tc>
          <w:tcPr>
            <w:tcW w:w="3103" w:type="dxa"/>
            <w:tcBorders/>
            <w:vAlign w:val="center"/>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ind w:left="0" w:right="0" w:firstLine="1968"/>
              <w:jc w:val="left"/>
              <w:rPr>
                <w:sz w:val="4"/>
                <w:szCs w:val="4"/>
              </w:rPr>
            </w:pPr>
            <w:r>
              <w:rPr>
                <w:sz w:val="4"/>
                <w:szCs w:val="4"/>
              </w:rPr>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13.08</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Entire Agreement</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66</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13.09</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No Third Party Beneficiaries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66</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13.10</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Other Instruments and Acts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66</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13.11</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Remedies and Waivers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67</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13.12</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Public Announcements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67</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13.13</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Competitive Activities</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67</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13.14</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CONSENT TO JURISDICTION; SERVICE OF PROCESS AND VENUE</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67</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13.15</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JURY TRIAL WAIVER</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68</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13.16</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Specific Performance</w:t>
            </w:r>
          </w:p>
        </w:tc>
        <w:tc>
          <w:tcPr>
            <w:tcW w:w="2360"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right"/>
              <w:rPr>
                <w:rFonts w:ascii="Times New Roman" w:hAnsi="Times New Roman"/>
                <w:color w:val="000000"/>
                <w:sz w:val="24"/>
              </w:rPr>
            </w:pPr>
            <w:r>
              <w:rPr>
                <w:rFonts w:ascii="Times New Roman" w:hAnsi="Times New Roman"/>
                <w:color w:val="000000"/>
                <w:sz w:val="24"/>
              </w:rPr>
              <w:t>68</w:t>
            </w:r>
          </w:p>
        </w:tc>
      </w:tr>
      <w:tr>
        <w:trPr/>
        <w:tc>
          <w:tcPr>
            <w:tcW w:w="3103" w:type="dxa"/>
            <w:tcBorders/>
            <w:shd w:fill="FFFFFF" w:val="clear"/>
            <w:tcMar>
              <w:top w:w="0" w:type="dxa"/>
              <w:left w:w="0" w:type="dxa"/>
              <w:bottom w:w="0" w:type="dxa"/>
              <w:right w:w="0" w:type="dxa"/>
            </w:tcMar>
            <w:vAlign w:val="center"/>
          </w:tcPr>
          <w:p>
            <w:pPr>
              <w:pStyle w:val="TableContents"/>
              <w:bidi w:val="0"/>
              <w:spacing w:before="0" w:after="100"/>
              <w:ind w:left="0" w:right="0" w:firstLine="1968"/>
              <w:jc w:val="left"/>
              <w:rPr>
                <w:rFonts w:ascii="Times New Roman" w:hAnsi="Times New Roman"/>
                <w:color w:val="000000"/>
                <w:sz w:val="24"/>
              </w:rPr>
            </w:pPr>
            <w:r>
              <w:rPr>
                <w:rFonts w:ascii="Times New Roman" w:hAnsi="Times New Roman"/>
                <w:color w:val="000000"/>
                <w:sz w:val="24"/>
              </w:rPr>
              <w:t>Section 13.17</w:t>
            </w:r>
          </w:p>
        </w:tc>
        <w:tc>
          <w:tcPr>
            <w:tcW w:w="4742"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4"/>
              </w:rPr>
            </w:pPr>
            <w:r>
              <w:rPr>
                <w:rFonts w:ascii="Times New Roman" w:hAnsi="Times New Roman"/>
                <w:color w:val="000000"/>
                <w:sz w:val="24"/>
              </w:rPr>
              <w:t>Further Assurances</w:t>
            </w:r>
          </w:p>
        </w:tc>
        <w:tc>
          <w:tcPr>
            <w:tcW w:w="2360" w:type="dxa"/>
            <w:tcBorders/>
            <w:shd w:fill="FFFFFF" w:val="clear"/>
            <w:tcMar>
              <w:top w:w="0" w:type="dxa"/>
              <w:left w:w="0" w:type="dxa"/>
              <w:bottom w:w="0" w:type="dxa"/>
              <w:right w:w="0" w:type="dxa"/>
            </w:tcMar>
            <w:vAlign w:val="center"/>
          </w:tcPr>
          <w:p>
            <w:pPr>
              <w:pStyle w:val="TableContents"/>
              <w:bidi w:val="0"/>
              <w:spacing w:before="0" w:after="100"/>
              <w:jc w:val="right"/>
              <w:rPr>
                <w:rFonts w:ascii="Times New Roman" w:hAnsi="Times New Roman"/>
                <w:color w:val="000000"/>
                <w:sz w:val="24"/>
              </w:rPr>
            </w:pPr>
            <w:r>
              <w:rPr>
                <w:rFonts w:ascii="Times New Roman" w:hAnsi="Times New Roman"/>
                <w:color w:val="000000"/>
                <w:sz w:val="24"/>
              </w:rPr>
              <w:t>68</w:t>
            </w:r>
          </w:p>
        </w:tc>
      </w:tr>
    </w:tbl>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sz w:val="24"/>
        </w:rPr>
      </w:pPr>
      <w:r>
        <w:rPr>
          <w:rFonts w:ascii="Times New Roman" w:hAnsi="Times New Roman"/>
          <w:b/>
          <w:color w:val="000000"/>
          <w:sz w:val="24"/>
        </w:rPr>
        <w:t>THIRD AMENDED AND RESTATED</w:t>
      </w:r>
      <w:r>
        <w:rPr>
          <w:rFonts w:ascii="Times New Roman" w:hAnsi="Times New Roman"/>
          <w:color w:val="000000"/>
          <w:sz w:val="24"/>
        </w:rPr>
        <w:br/>
        <w:br/>
      </w:r>
      <w:r>
        <w:rPr>
          <w:rFonts w:ascii="Times New Roman" w:hAnsi="Times New Roman"/>
          <w:b/>
          <w:color w:val="000000"/>
          <w:sz w:val="24"/>
        </w:rPr>
        <w:t>LIMITED LIABILITY COMPANY AGREEMENT</w:t>
      </w:r>
      <w:r>
        <w:rPr>
          <w:rFonts w:ascii="Times New Roman" w:hAnsi="Times New Roman"/>
          <w:color w:val="000000"/>
          <w:sz w:val="24"/>
        </w:rPr>
        <w:br/>
        <w:br/>
      </w:r>
      <w:r>
        <w:rPr>
          <w:rFonts w:ascii="Times New Roman" w:hAnsi="Times New Roman"/>
          <w:b/>
          <w:color w:val="000000"/>
          <w:sz w:val="24"/>
        </w:rPr>
        <w:t>OF</w:t>
      </w:r>
      <w:r>
        <w:rPr>
          <w:rFonts w:ascii="Times New Roman" w:hAnsi="Times New Roman"/>
          <w:color w:val="000000"/>
          <w:sz w:val="24"/>
        </w:rPr>
        <w:br/>
        <w:br/>
      </w:r>
      <w:r>
        <w:rPr>
          <w:rFonts w:ascii="Times New Roman" w:hAnsi="Times New Roman"/>
          <w:b/>
          <w:color w:val="000000"/>
          <w:sz w:val="24"/>
        </w:rPr>
        <w:t>VROOM AUTOMOTIVE, LLC,</w:t>
      </w:r>
      <w:r>
        <w:rPr>
          <w:rFonts w:ascii="Times New Roman" w:hAnsi="Times New Roman"/>
          <w:color w:val="000000"/>
          <w:sz w:val="24"/>
        </w:rPr>
        <w:br/>
        <w:br/>
      </w:r>
      <w:r>
        <w:rPr>
          <w:rFonts w:ascii="Times New Roman" w:hAnsi="Times New Roman"/>
          <w:b/>
          <w:color w:val="000000"/>
          <w:sz w:val="24"/>
        </w:rPr>
        <w:t>A DELAWARE LIMITED LIABILITY COMPANY</w:t>
      </w:r>
    </w:p>
    <w:p>
      <w:pPr>
        <w:pStyle w:val="TextBody"/>
        <w:bidi w:val="0"/>
        <w:spacing w:before="0" w:after="360"/>
        <w:jc w:val="both"/>
        <w:rPr>
          <w:rFonts w:ascii="Times New Roman" w:hAnsi="Times New Roman"/>
          <w:sz w:val="24"/>
        </w:rPr>
      </w:pPr>
      <w:r>
        <w:rPr>
          <w:rFonts w:ascii="Times New Roman" w:hAnsi="Times New Roman"/>
          <w:color w:val="000000"/>
          <w:sz w:val="24"/>
        </w:rPr>
        <w:t>This Third Amended and Restated Limited Liability Company Agreement of Vroom Automotive, LLC (the “</w:t>
      </w:r>
      <w:r>
        <w:rPr>
          <w:rFonts w:ascii="Times New Roman" w:hAnsi="Times New Roman"/>
          <w:b/>
          <w:color w:val="000000"/>
          <w:sz w:val="24"/>
          <w:u w:val="single"/>
        </w:rPr>
        <w:t>Company</w:t>
      </w:r>
      <w:r>
        <w:rPr>
          <w:rFonts w:ascii="Times New Roman" w:hAnsi="Times New Roman"/>
          <w:color w:val="000000"/>
          <w:sz w:val="24"/>
        </w:rPr>
        <w:t>”) is made and entered into on September 30, 2026 (the “</w:t>
      </w:r>
      <w:r>
        <w:rPr>
          <w:rFonts w:ascii="Times New Roman" w:hAnsi="Times New Roman"/>
          <w:b/>
          <w:color w:val="000000"/>
          <w:sz w:val="24"/>
          <w:u w:val="single"/>
        </w:rPr>
        <w:t>Effective Date</w:t>
      </w:r>
      <w:r>
        <w:rPr>
          <w:rFonts w:ascii="Times New Roman" w:hAnsi="Times New Roman"/>
          <w:color w:val="000000"/>
          <w:sz w:val="24"/>
        </w:rPr>
        <w:t>”), by and among the Members, the Company and Vroom, Inc., a Delaware corporation (“</w:t>
      </w:r>
      <w:r>
        <w:rPr>
          <w:rFonts w:ascii="Times New Roman" w:hAnsi="Times New Roman"/>
          <w:b/>
          <w:color w:val="000000"/>
          <w:sz w:val="24"/>
          <w:u w:val="single"/>
        </w:rPr>
        <w:t>Vroom Parent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was originally formed on September 19, 2001, as a corporation under the jurisdiction of the State of Texas, under the name “Left Gate Property Holding, Inc.”;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converted from a Texas corporation to a Texas limited liability company on June 23, 2015, pursuant to and in accordance with the Texas Business Organizations Code, and as part of that conversion changed its name to “Left Gate Property Holding, LLC”;</w:t>
      </w:r>
    </w:p>
    <w:p>
      <w:pPr>
        <w:pStyle w:val="TextBody"/>
        <w:bidi w:val="0"/>
        <w:spacing w:before="0" w:after="240"/>
        <w:jc w:val="both"/>
        <w:rPr>
          <w:rFonts w:ascii="Times New Roman" w:hAnsi="Times New Roman"/>
          <w:sz w:val="24"/>
        </w:rPr>
      </w:pPr>
      <w:r>
        <w:rPr>
          <w:rFonts w:ascii="Times New Roman" w:hAnsi="Times New Roman"/>
          <w:color w:val="000000"/>
          <w:sz w:val="24"/>
        </w:rPr>
        <w:t>WHEREAS, on December 23, 2015, the Company and its then sole member amended and restated the initial limited liability company agreement of the Company by adopting, executing and entering into that certain Amended and Restated Company Agreement of the Company (as amended, restated or otherwise modified from time to time, the “</w:t>
      </w:r>
      <w:r>
        <w:rPr>
          <w:rFonts w:ascii="Times New Roman" w:hAnsi="Times New Roman"/>
          <w:b/>
          <w:color w:val="000000"/>
          <w:sz w:val="24"/>
          <w:u w:val="single"/>
        </w:rPr>
        <w:t>First LLC Agreement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pursuant to and in accordance with the Texas Business Organizations Code, the Company changed its name to “Vroom Automotive, LLC” on March 1, 2021, by filing a Certificate of Amendment to its Certificate of Formation with the Secretary of State of the State of Texas;</w:t>
      </w:r>
    </w:p>
    <w:p>
      <w:pPr>
        <w:pStyle w:val="TextBody"/>
        <w:bidi w:val="0"/>
        <w:spacing w:before="0" w:after="240"/>
        <w:jc w:val="both"/>
        <w:rPr>
          <w:rFonts w:ascii="Times New Roman" w:hAnsi="Times New Roman"/>
          <w:sz w:val="24"/>
        </w:rPr>
      </w:pPr>
      <w:r>
        <w:rPr>
          <w:rFonts w:ascii="Times New Roman" w:hAnsi="Times New Roman"/>
          <w:color w:val="000000"/>
          <w:sz w:val="24"/>
        </w:rPr>
        <w:t>WHEREAS, on October 10, 2025, the Company converted from a Texas limited liability company to a Delaware limited liability company (the “</w:t>
      </w:r>
      <w:r>
        <w:rPr>
          <w:rFonts w:ascii="Times New Roman" w:hAnsi="Times New Roman"/>
          <w:b/>
          <w:color w:val="000000"/>
          <w:sz w:val="24"/>
          <w:u w:val="single"/>
        </w:rPr>
        <w:t>Conversion</w:t>
      </w:r>
      <w:r>
        <w:rPr>
          <w:rFonts w:ascii="Times New Roman" w:hAnsi="Times New Roman"/>
          <w:color w:val="000000"/>
          <w:sz w:val="24"/>
        </w:rPr>
        <w:t xml:space="preserve">”) by (i) filing a Certificate of Conversion and a Certificate of Formation with the Secretary of State of the State of Delaware pursuant to the Delaware Limited Liability Company Act (6 </w:t>
      </w:r>
      <w:r>
        <w:rPr>
          <w:rFonts w:ascii="Times New Roman" w:hAnsi="Times New Roman"/>
          <w:color w:val="000000"/>
          <w:sz w:val="24"/>
          <w:u w:val="single"/>
        </w:rPr>
        <w:t>Del</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4"/>
        </w:rPr>
        <w:t xml:space="preserve">. § 18-101, </w:t>
      </w:r>
      <w:r>
        <w:rPr>
          <w:rFonts w:ascii="Times New Roman" w:hAnsi="Times New Roman"/>
          <w:color w:val="000000"/>
          <w:sz w:val="24"/>
          <w:u w:val="single"/>
        </w:rPr>
        <w:t>et</w:t>
      </w:r>
      <w:r>
        <w:rPr>
          <w:rFonts w:ascii="Times New Roman" w:hAnsi="Times New Roman"/>
          <w:color w:val="000000"/>
          <w:sz w:val="24"/>
        </w:rPr>
        <w:t xml:space="preserve"> </w:t>
      </w:r>
      <w:r>
        <w:rPr>
          <w:rFonts w:ascii="Times New Roman" w:hAnsi="Times New Roman"/>
          <w:color w:val="000000"/>
          <w:sz w:val="24"/>
          <w:u w:val="single"/>
        </w:rPr>
        <w:t>seq</w:t>
      </w:r>
      <w:r>
        <w:rPr>
          <w:rFonts w:ascii="Times New Roman" w:hAnsi="Times New Roman"/>
          <w:color w:val="000000"/>
          <w:sz w:val="24"/>
        </w:rPr>
        <w:t>., as amended and in effect from time to time, the “</w:t>
      </w:r>
      <w:r>
        <w:rPr>
          <w:rFonts w:ascii="Times New Roman" w:hAnsi="Times New Roman"/>
          <w:b/>
          <w:color w:val="000000"/>
          <w:sz w:val="24"/>
          <w:u w:val="single"/>
        </w:rPr>
        <w:t>Act</w:t>
      </w:r>
      <w:r>
        <w:rPr>
          <w:rFonts w:ascii="Times New Roman" w:hAnsi="Times New Roman"/>
          <w:color w:val="000000"/>
          <w:sz w:val="24"/>
        </w:rPr>
        <w:t>”), and (ii) filing a Certificate of Conversion of a Texas Filing Entity Converting to a Foreign Entity;</w:t>
      </w:r>
    </w:p>
    <w:p>
      <w:pPr>
        <w:pStyle w:val="TextBody"/>
        <w:bidi w:val="0"/>
        <w:spacing w:before="0" w:after="240"/>
        <w:jc w:val="both"/>
        <w:rPr>
          <w:rFonts w:ascii="Times New Roman" w:hAnsi="Times New Roman"/>
          <w:sz w:val="24"/>
        </w:rPr>
      </w:pPr>
      <w:r>
        <w:rPr>
          <w:rFonts w:ascii="Times New Roman" w:hAnsi="Times New Roman"/>
          <w:color w:val="000000"/>
          <w:sz w:val="24"/>
        </w:rPr>
        <w:t>WHEREAS, on January 16, 2026, Vroom Parent, the Company and its then members amended and restated the First LLC Agreement by adopting, executing and entering into that certain Second Amended and Restated Limited Liability Company Agreement of the Company (as amended, restated or otherwise modified from time to time, the “</w:t>
      </w:r>
      <w:r>
        <w:rPr>
          <w:rFonts w:ascii="Times New Roman" w:hAnsi="Times New Roman"/>
          <w:b/>
          <w:color w:val="000000"/>
          <w:sz w:val="24"/>
          <w:u w:val="single"/>
        </w:rPr>
        <w:t>Second LLC Agreement</w:t>
      </w:r>
      <w:r>
        <w:rPr>
          <w:rFonts w:ascii="Times New Roman" w:hAnsi="Times New Roman"/>
          <w:color w:val="000000"/>
          <w:sz w:val="24"/>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WHEREAS, contemporaneously with the execution of this Agreement, the Company will issue Series A1 Preferred Units and Series B1 Preferred Units to the Investor Member pursuant to the terms and conditions of that certain Preferred Unit Purchase Agreement, dated as of the date hereof, by and between the Company, the Investor Member and Vroom Parent (the “</w:t>
      </w:r>
      <w:r>
        <w:rPr>
          <w:rFonts w:ascii="Times New Roman" w:hAnsi="Times New Roman"/>
          <w:b/>
          <w:color w:val="000000"/>
          <w:sz w:val="24"/>
          <w:u w:val="single"/>
        </w:rPr>
        <w:t>Purchase Agreement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in connection with the transactions contemplated under the Purchase Agreement, the parties hereto wish to effect (a) the amendment and restatement of the Second LLC Agreement, and (b) the continued operation of the Company on the terms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covenants and agreements set forth herein and for other good and valuable consideration, the receipt and sufficiency of which are hereby acknowledged, the parties hereto agree as follows:</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1</w:t>
      </w:r>
      <w:r>
        <w:rPr>
          <w:rFonts w:ascii="Times New Roman" w:hAnsi="Times New Roman"/>
          <w:caps/>
          <w:color w:val="000000"/>
          <w:sz w:val="24"/>
          <w:u w:val="single"/>
        </w:rPr>
        <w:b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in this Agreement, the following terms have the meanings set forth below:</w:t>
      </w:r>
    </w:p>
    <w:p>
      <w:pPr>
        <w:pStyle w:val="TextBody"/>
        <w:bidi w:val="0"/>
        <w:spacing w:before="0" w:after="240"/>
        <w:jc w:val="both"/>
        <w:rPr/>
      </w:pPr>
      <w:r>
        <w:rPr>
          <w:color w:val="000000"/>
        </w:rPr>
        <w:t>“</w:t>
      </w:r>
      <w:r>
        <w:rPr>
          <w:rFonts w:ascii="Times New Roman" w:hAnsi="Times New Roman"/>
          <w:b/>
          <w:color w:val="000000"/>
          <w:sz w:val="24"/>
          <w:u w:val="single"/>
        </w:rPr>
        <w:t>382 Change Transaction</w:t>
      </w:r>
      <w:r>
        <w:rPr>
          <w:rFonts w:ascii="Times New Roman" w:hAnsi="Times New Roman"/>
          <w:color w:val="000000"/>
          <w:sz w:val="24"/>
        </w:rPr>
        <w:t>” means any transaction that would cause an “ownership change” of the Company and/or Vroom Member (within the meaning of Section 382 of the Code) for U.S. federal income tax purposes, other than any such “ownership change” which would not have occurred but for the Investor Member’s and its Affiliates’ ownership of equity Securities of the Company (excluding, for this purpose, any ownership of any Preferred Units or any Common Units issued upon conversion thereof).</w:t>
      </w:r>
    </w:p>
    <w:p>
      <w:pPr>
        <w:pStyle w:val="TextBody"/>
        <w:bidi w:val="0"/>
        <w:spacing w:before="0" w:after="240"/>
        <w:jc w:val="both"/>
        <w:rPr/>
      </w:pPr>
      <w:r>
        <w:rPr>
          <w:color w:val="000000"/>
        </w:rPr>
        <w:t>“</w:t>
      </w:r>
      <w:r>
        <w:rPr>
          <w:rFonts w:ascii="Times New Roman" w:hAnsi="Times New Roman"/>
          <w:b/>
          <w:color w:val="000000"/>
          <w:sz w:val="24"/>
          <w:u w:val="single"/>
        </w:rPr>
        <w:t>382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382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382 Redemption Failure</w:t>
      </w:r>
      <w:r>
        <w:rPr>
          <w:rFonts w:ascii="Times New Roman" w:hAnsi="Times New Roman"/>
          <w:color w:val="000000"/>
          <w:sz w:val="24"/>
        </w:rPr>
        <w:t xml:space="preserve">” has the meaning set forth in </w:t>
      </w:r>
      <w:r>
        <w:rPr>
          <w:rFonts w:ascii="Times New Roman" w:hAnsi="Times New Roman"/>
          <w:color w:val="000000"/>
          <w:sz w:val="24"/>
          <w:u w:val="single"/>
        </w:rPr>
        <w:t>Section 8.06(b)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382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Act</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4"/>
          <w:u w:val="single"/>
        </w:rPr>
        <w:t>Additional Capital Contribution</w:t>
      </w:r>
      <w:r>
        <w:rPr>
          <w:rFonts w:ascii="Times New Roman" w:hAnsi="Times New Roman"/>
          <w:color w:val="000000"/>
          <w:sz w:val="24"/>
        </w:rPr>
        <w:t>” means, with respect to each Member, any amount contributed by such Member to the Company in excess of the existing Capital Contribution(s) of such Member as of the Effective Date.</w:t>
      </w:r>
    </w:p>
    <w:p>
      <w:pPr>
        <w:pStyle w:val="TextBody"/>
        <w:bidi w:val="0"/>
        <w:spacing w:before="0" w:after="240"/>
        <w:jc w:val="both"/>
        <w:rPr/>
      </w:pPr>
      <w:r>
        <w:rPr>
          <w:color w:val="000000"/>
        </w:rPr>
        <w:t>“</w:t>
      </w:r>
      <w:r>
        <w:rPr>
          <w:rFonts w:ascii="Times New Roman" w:hAnsi="Times New Roman"/>
          <w:b/>
          <w:color w:val="000000"/>
          <w:sz w:val="24"/>
          <w:u w:val="single"/>
        </w:rPr>
        <w:t>Additional Equity Financing</w:t>
      </w:r>
      <w:r>
        <w:rPr>
          <w:rFonts w:ascii="Times New Roman" w:hAnsi="Times New Roman"/>
          <w:color w:val="000000"/>
          <w:sz w:val="24"/>
        </w:rPr>
        <w:t xml:space="preserve">” means any transaction (or series of related transactions) pursuant to which the Company raises additional capital or obtains any equity financing from any Person (other than the Investor Member), including (a) Additional Capital Contributions, (b) subject to </w:t>
      </w:r>
      <w:r>
        <w:rPr>
          <w:rFonts w:ascii="Times New Roman" w:hAnsi="Times New Roman"/>
          <w:color w:val="000000"/>
          <w:sz w:val="24"/>
          <w:u w:val="single"/>
        </w:rPr>
        <w:t>Section 3.04</w:t>
      </w:r>
      <w:r>
        <w:rPr>
          <w:rFonts w:ascii="Times New Roman" w:hAnsi="Times New Roman"/>
          <w:color w:val="000000"/>
          <w:sz w:val="24"/>
        </w:rPr>
        <w:t xml:space="preserve"> and </w:t>
      </w:r>
      <w:r>
        <w:rPr>
          <w:rFonts w:ascii="Times New Roman" w:hAnsi="Times New Roman"/>
          <w:color w:val="000000"/>
          <w:sz w:val="24"/>
          <w:u w:val="single"/>
        </w:rPr>
        <w:t>Section 3.05</w:t>
      </w:r>
      <w:r>
        <w:rPr>
          <w:rFonts w:ascii="Times New Roman" w:hAnsi="Times New Roman"/>
          <w:color w:val="000000"/>
          <w:sz w:val="24"/>
        </w:rPr>
        <w:t xml:space="preserve"> hereof, the issuance or sale of any equity Securities of the Company (including any Securities convertible into or exchangeable for equity Securities), or (c) in connection with, or otherwise related to, a Permitted Asset Contribution.</w:t>
      </w:r>
    </w:p>
    <w:p>
      <w:pPr>
        <w:pStyle w:val="TextBody"/>
        <w:bidi w:val="0"/>
        <w:spacing w:before="0" w:after="240"/>
        <w:jc w:val="both"/>
        <w:rPr/>
      </w:pPr>
      <w:r>
        <w:rPr>
          <w:color w:val="000000"/>
        </w:rPr>
        <w:t>“</w:t>
      </w:r>
      <w:r>
        <w:rPr>
          <w:rFonts w:ascii="Times New Roman" w:hAnsi="Times New Roman"/>
          <w:b/>
          <w:color w:val="000000"/>
          <w:sz w:val="24"/>
          <w:u w:val="single"/>
        </w:rPr>
        <w:t>Additional Member</w:t>
      </w:r>
      <w:r>
        <w:rPr>
          <w:rFonts w:ascii="Times New Roman" w:hAnsi="Times New Roman"/>
          <w:color w:val="000000"/>
          <w:sz w:val="24"/>
        </w:rPr>
        <w:t xml:space="preserve">” has the meaning set forth in </w:t>
      </w:r>
      <w:r>
        <w:rPr>
          <w:rFonts w:ascii="Times New Roman" w:hAnsi="Times New Roman"/>
          <w:color w:val="000000"/>
          <w:sz w:val="24"/>
          <w:u w:val="single"/>
        </w:rPr>
        <w:t>Section 3.02(b)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Additional Preferred Units</w:t>
      </w:r>
      <w:r>
        <w:rPr>
          <w:rFonts w:ascii="Times New Roman" w:hAnsi="Times New Roman"/>
          <w:color w:val="000000"/>
          <w:sz w:val="24"/>
        </w:rPr>
        <w:t xml:space="preserve">” has the meaning set forth in </w:t>
      </w:r>
      <w:r>
        <w:rPr>
          <w:rFonts w:ascii="Times New Roman" w:hAnsi="Times New Roman"/>
          <w:color w:val="000000"/>
          <w:sz w:val="24"/>
          <w:u w:val="single"/>
        </w:rPr>
        <w:t>Section 3.04(a)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Affiliate</w:t>
      </w:r>
      <w:r>
        <w:rPr>
          <w:rFonts w:ascii="Times New Roman" w:hAnsi="Times New Roman"/>
          <w:color w:val="000000"/>
          <w:sz w:val="24"/>
        </w:rPr>
        <w:t>” of any Person means any Person that directly or indirectly through one or more intermediaries, Controls, is Controlled by or is under common Control with such Person, and the term “</w:t>
      </w:r>
      <w:r>
        <w:rPr>
          <w:rFonts w:ascii="Times New Roman" w:hAnsi="Times New Roman"/>
          <w:b/>
          <w:color w:val="000000"/>
          <w:sz w:val="24"/>
          <w:u w:val="single"/>
        </w:rPr>
        <w:t>Affiliated</w:t>
      </w:r>
      <w:r>
        <w:rPr>
          <w:rFonts w:ascii="Times New Roman" w:hAnsi="Times New Roman"/>
          <w:color w:val="000000"/>
          <w:sz w:val="24"/>
        </w:rPr>
        <w:t>” shall have a correlative meaning. For the avoidance of doubt, (a) the Investor Member shall not be an Affiliate of the Company, the Vroom Member or Vroom Parent, (b) UMB Bank, N.A., a national banking association, and UMB Delaware Inc., a Delaware limited purpose trust company, shall not be Affiliates of the Investor Member, and (c) the Company is directly or indirectly Controlled by, and is an Affiliate of, the Vroom Member and Vroom Parent.</w:t>
      </w:r>
    </w:p>
    <w:p>
      <w:pPr>
        <w:pStyle w:val="TextBody"/>
        <w:bidi w:val="0"/>
        <w:spacing w:before="0" w:after="240"/>
        <w:jc w:val="both"/>
        <w:rPr/>
      </w:pPr>
      <w:r>
        <w:rPr>
          <w:color w:val="000000"/>
        </w:rPr>
        <w:t>“</w:t>
      </w:r>
      <w:r>
        <w:rPr>
          <w:rFonts w:ascii="Times New Roman" w:hAnsi="Times New Roman"/>
          <w:b/>
          <w:color w:val="000000"/>
          <w:sz w:val="24"/>
          <w:u w:val="single"/>
        </w:rPr>
        <w:t>Agreement</w:t>
      </w:r>
      <w:r>
        <w:rPr>
          <w:rFonts w:ascii="Times New Roman" w:hAnsi="Times New Roman"/>
          <w:color w:val="000000"/>
          <w:sz w:val="24"/>
        </w:rPr>
        <w:t>” means this Third Amended and Restated Limited Liability Company Agreement, including all exhibits and schedules hereto, as it may be amended or restated from time to time.</w:t>
      </w:r>
    </w:p>
    <w:p>
      <w:pPr>
        <w:pStyle w:val="TextBody"/>
        <w:bidi w:val="0"/>
        <w:spacing w:before="0" w:after="240"/>
        <w:jc w:val="both"/>
        <w:rPr/>
      </w:pPr>
      <w:r>
        <w:rPr>
          <w:color w:val="000000"/>
        </w:rPr>
        <w:t>“</w:t>
      </w:r>
      <w:r>
        <w:rPr>
          <w:rFonts w:ascii="Times New Roman" w:hAnsi="Times New Roman"/>
          <w:b/>
          <w:color w:val="000000"/>
          <w:sz w:val="24"/>
          <w:u w:val="single"/>
        </w:rPr>
        <w:t>Appraisal</w:t>
      </w:r>
      <w:r>
        <w:rPr>
          <w:rFonts w:ascii="Times New Roman" w:hAnsi="Times New Roman"/>
          <w:color w:val="000000"/>
          <w:sz w:val="24"/>
        </w:rPr>
        <w:t>” has the meaning set forth in the Loan and Security Agreement.</w:t>
      </w:r>
    </w:p>
    <w:p>
      <w:pPr>
        <w:pStyle w:val="TextBody"/>
        <w:bidi w:val="0"/>
        <w:spacing w:before="0" w:after="240"/>
        <w:jc w:val="both"/>
        <w:rPr/>
      </w:pPr>
      <w:r>
        <w:rPr>
          <w:color w:val="000000"/>
        </w:rPr>
        <w:t>“</w:t>
      </w:r>
      <w:r>
        <w:rPr>
          <w:rFonts w:ascii="Times New Roman" w:hAnsi="Times New Roman"/>
          <w:b/>
          <w:color w:val="000000"/>
          <w:sz w:val="24"/>
          <w:u w:val="single"/>
        </w:rPr>
        <w:t>Approved Financing Trust</w:t>
      </w:r>
      <w:r>
        <w:rPr>
          <w:rFonts w:ascii="Times New Roman" w:hAnsi="Times New Roman"/>
          <w:color w:val="000000"/>
          <w:sz w:val="24"/>
        </w:rPr>
        <w:t>” means any Entity specifically approved in writing by the Investor Member.</w:t>
      </w:r>
    </w:p>
    <w:p>
      <w:pPr>
        <w:pStyle w:val="TextBody"/>
        <w:bidi w:val="0"/>
        <w:spacing w:before="0" w:after="240"/>
        <w:jc w:val="both"/>
        <w:rPr/>
      </w:pPr>
      <w:r>
        <w:rPr>
          <w:color w:val="000000"/>
        </w:rPr>
        <w:t>“</w:t>
      </w:r>
      <w:r>
        <w:rPr>
          <w:rFonts w:ascii="Times New Roman" w:hAnsi="Times New Roman"/>
          <w:b/>
          <w:color w:val="000000"/>
          <w:sz w:val="24"/>
          <w:u w:val="single"/>
        </w:rPr>
        <w:t>Assigned Intellectual Property</w:t>
      </w:r>
      <w:r>
        <w:rPr>
          <w:rFonts w:ascii="Times New Roman" w:hAnsi="Times New Roman"/>
          <w:color w:val="000000"/>
          <w:sz w:val="24"/>
        </w:rPr>
        <w:t>” has the meaning set forth in the definition of “Excluded Liabilities”.</w:t>
      </w:r>
    </w:p>
    <w:p>
      <w:pPr>
        <w:pStyle w:val="TextBody"/>
        <w:bidi w:val="0"/>
        <w:spacing w:before="0" w:after="240"/>
        <w:jc w:val="both"/>
        <w:rPr/>
      </w:pPr>
      <w:r>
        <w:rPr>
          <w:color w:val="090909"/>
        </w:rPr>
        <w:t>“</w:t>
      </w:r>
      <w:r>
        <w:rPr>
          <w:rFonts w:ascii="Times New Roman" w:hAnsi="Times New Roman"/>
          <w:b/>
          <w:color w:val="090909"/>
          <w:sz w:val="24"/>
          <w:u w:val="single"/>
        </w:rPr>
        <w:t>Bankruptcy Law</w:t>
      </w:r>
      <w:r>
        <w:rPr>
          <w:rFonts w:ascii="Times New Roman" w:hAnsi="Times New Roman"/>
          <w:color w:val="090909"/>
          <w:sz w:val="24"/>
        </w:rPr>
        <w:t xml:space="preserve">” </w:t>
      </w:r>
      <w:r>
        <w:rPr>
          <w:rFonts w:ascii="Times New Roman" w:hAnsi="Times New Roman"/>
          <w:color w:val="000000"/>
          <w:sz w:val="24"/>
        </w:rPr>
        <w:t>means the United States Bankruptcy Code or any other present or future insolvency, bankruptcy, liquidation, conservatorship, reorganization or moratorium constitution, statute, law, ordinance, rule, regulation, order, writ, injunction or decree.</w:t>
      </w:r>
    </w:p>
    <w:p>
      <w:pPr>
        <w:pStyle w:val="TextBody"/>
        <w:bidi w:val="0"/>
        <w:spacing w:before="0" w:after="240"/>
        <w:jc w:val="both"/>
        <w:rPr/>
      </w:pPr>
      <w:r>
        <w:rPr>
          <w:color w:val="000000"/>
        </w:rPr>
        <w:t>“</w:t>
      </w:r>
      <w:r>
        <w:rPr>
          <w:rFonts w:ascii="Times New Roman" w:hAnsi="Times New Roman"/>
          <w:b/>
          <w:color w:val="000000"/>
          <w:sz w:val="24"/>
          <w:u w:val="single"/>
        </w:rPr>
        <w:t>Board of Managers</w:t>
      </w:r>
      <w:r>
        <w:rPr>
          <w:rFonts w:ascii="Times New Roman" w:hAnsi="Times New Roman"/>
          <w:color w:val="000000"/>
          <w:sz w:val="24"/>
        </w:rPr>
        <w:t xml:space="preserve">” has the meaning set forth in </w:t>
      </w:r>
      <w:r>
        <w:rPr>
          <w:rFonts w:ascii="Times New Roman" w:hAnsi="Times New Roman"/>
          <w:color w:val="000000"/>
          <w:sz w:val="24"/>
          <w:u w:val="single"/>
        </w:rPr>
        <w:t>Section 4.01(a)(i)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Business Day</w:t>
      </w:r>
      <w:r>
        <w:rPr>
          <w:rFonts w:ascii="Times New Roman" w:hAnsi="Times New Roman"/>
          <w:color w:val="000000"/>
          <w:sz w:val="24"/>
        </w:rPr>
        <w:t>” means a day other than a Saturday, Sunday or other day on which commercial banks in the City of New York or the state of Delaware are authorized or required to close.</w:t>
      </w:r>
    </w:p>
    <w:p>
      <w:pPr>
        <w:pStyle w:val="TextBody"/>
        <w:bidi w:val="0"/>
        <w:spacing w:before="0" w:after="240"/>
        <w:jc w:val="both"/>
        <w:rPr/>
      </w:pPr>
      <w:r>
        <w:rPr>
          <w:color w:val="000000"/>
        </w:rPr>
        <w:t>“</w:t>
      </w:r>
      <w:r>
        <w:rPr>
          <w:rFonts w:ascii="Times New Roman" w:hAnsi="Times New Roman"/>
          <w:b/>
          <w:color w:val="000000"/>
          <w:sz w:val="24"/>
          <w:u w:val="single"/>
        </w:rPr>
        <w:t>Capital Contributions</w:t>
      </w:r>
      <w:r>
        <w:rPr>
          <w:rFonts w:ascii="Times New Roman" w:hAnsi="Times New Roman"/>
          <w:color w:val="000000"/>
          <w:sz w:val="24"/>
        </w:rPr>
        <w:t xml:space="preserve">” means, with respect to any Member, the amount of money or property (other than money) contributed to the Company by such Member (or its predecessors in interest) with respect to the Units held by such Member. </w:t>
      </w:r>
    </w:p>
    <w:p>
      <w:pPr>
        <w:pStyle w:val="TextBody"/>
        <w:bidi w:val="0"/>
        <w:spacing w:before="0" w:after="240"/>
        <w:jc w:val="both"/>
        <w:rPr/>
      </w:pPr>
      <w:r>
        <w:rPr>
          <w:color w:val="000000"/>
        </w:rPr>
        <w:t>“</w:t>
      </w:r>
      <w:r>
        <w:rPr>
          <w:rFonts w:ascii="Times New Roman" w:hAnsi="Times New Roman"/>
          <w:b/>
          <w:color w:val="000000"/>
          <w:sz w:val="24"/>
          <w:u w:val="single"/>
        </w:rPr>
        <w:t>CarStory License Agreement</w:t>
      </w:r>
      <w:r>
        <w:rPr>
          <w:rFonts w:ascii="Times New Roman" w:hAnsi="Times New Roman"/>
          <w:color w:val="000000"/>
          <w:sz w:val="24"/>
        </w:rPr>
        <w:t xml:space="preserve">” means that certain Intellectual Property License Agreement, dated as of January 16, 2026, by and between the Company and Vast. </w:t>
      </w:r>
    </w:p>
    <w:p>
      <w:pPr>
        <w:pStyle w:val="TextBody"/>
        <w:bidi w:val="0"/>
        <w:spacing w:before="0" w:after="240"/>
        <w:jc w:val="both"/>
        <w:rPr/>
      </w:pPr>
      <w:r>
        <w:rPr>
          <w:color w:val="000000"/>
        </w:rPr>
        <w:t>“</w:t>
      </w:r>
      <w:r>
        <w:rPr>
          <w:rFonts w:ascii="Times New Roman" w:hAnsi="Times New Roman"/>
          <w:b/>
          <w:color w:val="000000"/>
          <w:sz w:val="24"/>
          <w:u w:val="single"/>
        </w:rPr>
        <w:t>Certificate</w:t>
      </w:r>
      <w:r>
        <w:rPr>
          <w:rFonts w:ascii="Times New Roman" w:hAnsi="Times New Roman"/>
          <w:color w:val="000000"/>
          <w:sz w:val="24"/>
        </w:rPr>
        <w:t>” means the Certificate of Formation of the Company as filed with the Secretary of State of the State of Delaware pursuant to the Act as set forth in the Recitals, as it has been and may be amended or restated from time to time.</w:t>
      </w:r>
    </w:p>
    <w:p>
      <w:pPr>
        <w:pStyle w:val="TextBody"/>
        <w:bidi w:val="0"/>
        <w:spacing w:before="0" w:after="240"/>
        <w:jc w:val="both"/>
        <w:rPr/>
      </w:pPr>
      <w:r>
        <w:rPr>
          <w:color w:val="000000"/>
        </w:rPr>
        <w:t>“</w:t>
      </w:r>
      <w:r>
        <w:rPr>
          <w:rFonts w:ascii="Times New Roman" w:hAnsi="Times New Roman"/>
          <w:b/>
          <w:color w:val="000000"/>
          <w:sz w:val="24"/>
          <w:u w:val="single"/>
        </w:rPr>
        <w:t>Change of Control</w:t>
      </w:r>
      <w:r>
        <w:rPr>
          <w:rFonts w:ascii="Times New Roman" w:hAnsi="Times New Roman"/>
          <w:color w:val="000000"/>
          <w:sz w:val="24"/>
        </w:rPr>
        <w:t xml:space="preserve">” means: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with respect to Vroom Parent, the occurrence of any one or more of the following events:</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 xml:space="preserve">any person (as such term is defined in Section 13(d) or 14(d) of the Securities Exchange Act) acquires beneficial ownership (within the meaning of Rule 13d-3 promulgated under the Securities Exchange Act of 1934) of more than 50% of the combined voting power of the then outstanding voting securities of Vroom Parent;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the individuals who were members of the board of directors of Vroom Parent on the Effective Date (the “</w:t>
      </w:r>
      <w:r>
        <w:rPr>
          <w:rFonts w:ascii="Times New Roman" w:hAnsi="Times New Roman"/>
          <w:b/>
          <w:color w:val="000000"/>
          <w:sz w:val="24"/>
          <w:u w:val="single"/>
        </w:rPr>
        <w:t>Current Board Members</w:t>
      </w:r>
      <w:r>
        <w:rPr>
          <w:rFonts w:ascii="Times New Roman" w:hAnsi="Times New Roman"/>
          <w:color w:val="000000"/>
          <w:sz w:val="24"/>
        </w:rPr>
        <w:t>”) cease for any reason to constitute a majority of the board of directors of Vroom Parent or its successor; however, if the election or the nomination for election of any new director of Vroom Parent or its successor is approved by a vote of a majority of the individuals who are Current Board Members, such new director shall, for the purposes of this definition, be considered a Current Board Member;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 xml:space="preserve">any merger or consolidation of Vroom Parent where the shareholders of Vroom Parent immediately before such merger or consolidation do not, as a result of such merger or consolidation, own, directly or indirectly, more than 50% of the combined voting power of the then outstanding voting securities of the entity resulting from such merger or consolidation in substantially the same proportion as their ownership of the combined voting power of the outstanding securities of Vroom Parent immediately before such merger or consolidation;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(iv) </w:t>
      </w:r>
      <w:r>
        <w:rPr>
          <w:rFonts w:ascii="Times New Roman" w:hAnsi="Times New Roman"/>
          <w:color w:val="000000"/>
          <w:sz w:val="24"/>
        </w:rPr>
        <w:t>any direct or indirect sale, transfer assignment or disposition (whether by merger, consolidation, reorganization, recapitalization or otherwise) of all or substantially all the assets of Vroom Parent to another person;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 </w:t>
      </w:r>
      <w:r>
        <w:rPr>
          <w:rFonts w:ascii="Times New Roman" w:hAnsi="Times New Roman"/>
          <w:color w:val="000000"/>
          <w:sz w:val="24"/>
        </w:rPr>
        <w:t xml:space="preserve">a complete liquidation or dissolution of Vroom Parent;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 xml:space="preserve">with respect </w:t>
      </w:r>
      <w:r>
        <w:rPr>
          <w:rFonts w:ascii="Times New Roman" w:hAnsi="Times New Roman"/>
          <w:b/>
          <w:color w:val="010000"/>
          <w:sz w:val="24"/>
        </w:rPr>
        <w:t>to</w:t>
      </w:r>
      <w:r>
        <w:rPr>
          <w:rFonts w:ascii="Times New Roman" w:hAnsi="Times New Roman"/>
          <w:color w:val="000000"/>
          <w:sz w:val="24"/>
        </w:rPr>
        <w:t xml:space="preserve"> the Vroom Member, the occurrence of any one or more of the following events: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any direct or indirect sale, transfer assignment or disposition (whether by merger, consolidation, reorganization, recapitalization or otherwise) of all or substantially all the assets of the Vroom Member to another person;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a complete liquidation or dissolution of the Vroom Member; or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 xml:space="preserve">the Vroom Member ceases to be directly or indirectly 100% owned by Vroom Parent; and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with respect to any other Person, the occurrence of any one or more of the following events: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any direct or indirect sale, transfer, assignment or other disposition (whether by merger, consolidation, reorganization, recapitalization, or otherwise, and whether in a single transaction or series of related transactions) of all or substantially all of the assets of such Person, to another Person;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any merger, consolidation or other business combination of such Person with or into any other Person, as a result of which the holders of the voting equity interests of such Person immediately prior to such transaction cease to own, directly or indirectly, a majority of the voting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power (by number or by voting rights) of the outstanding equity interests of the surviving or resulting entity immediately following such transaction;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any person (as such term is defined in Section 13(d) or 14(d) of the Securities Exchange Act) acquires beneficial ownership (within the meaning of Rule 13d-3 promulgated under the Securities Exchange Act) of more than 50% of the combined voting power of the then outstanding voting securities of such Person.</w:t>
      </w:r>
    </w:p>
    <w:p>
      <w:pPr>
        <w:pStyle w:val="TextBody"/>
        <w:bidi w:val="0"/>
        <w:spacing w:before="0" w:after="240"/>
        <w:jc w:val="both"/>
        <w:rPr/>
      </w:pPr>
      <w:r>
        <w:rPr>
          <w:color w:val="000000"/>
        </w:rPr>
        <w:t>“</w:t>
      </w:r>
      <w:r>
        <w:rPr>
          <w:rFonts w:ascii="Times New Roman" w:hAnsi="Times New Roman"/>
          <w:b/>
          <w:color w:val="000000"/>
          <w:sz w:val="24"/>
          <w:u w:val="single"/>
        </w:rPr>
        <w:t>CoC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CoC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CoC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Code</w:t>
      </w:r>
      <w:r>
        <w:rPr>
          <w:rFonts w:ascii="Times New Roman" w:hAnsi="Times New Roman"/>
          <w:color w:val="000000"/>
          <w:sz w:val="24"/>
        </w:rPr>
        <w:t>” means the Internal Revenue Code of 1986, as amended.</w:t>
      </w:r>
    </w:p>
    <w:p>
      <w:pPr>
        <w:pStyle w:val="TextBody"/>
        <w:bidi w:val="0"/>
        <w:spacing w:before="0" w:after="240"/>
        <w:jc w:val="both"/>
        <w:rPr/>
      </w:pPr>
      <w:r>
        <w:rPr>
          <w:color w:val="000000"/>
        </w:rPr>
        <w:t>“</w:t>
      </w:r>
      <w:r>
        <w:rPr>
          <w:rFonts w:ascii="Times New Roman" w:hAnsi="Times New Roman"/>
          <w:b/>
          <w:color w:val="000000"/>
          <w:sz w:val="24"/>
          <w:u w:val="single"/>
        </w:rPr>
        <w:t>Common Interest</w:t>
      </w:r>
      <w:r>
        <w:rPr>
          <w:rFonts w:ascii="Times New Roman" w:hAnsi="Times New Roman"/>
          <w:color w:val="000000"/>
          <w:sz w:val="24"/>
        </w:rPr>
        <w:t>” means the limited liability company interest represented by the Common Units owned by a Common Member in the Company at any particular time, including the right of such Common Member to any and all benefits to which such Common Member may be entitled as provided in the Act, this Agreement, or otherwise, together with the obligations of such Common Member to comply with all terms and provisions of this Agreement and the Act.</w:t>
      </w:r>
    </w:p>
    <w:p>
      <w:pPr>
        <w:pStyle w:val="TextBody"/>
        <w:bidi w:val="0"/>
        <w:spacing w:before="0" w:after="240"/>
        <w:jc w:val="both"/>
        <w:rPr/>
      </w:pPr>
      <w:r>
        <w:rPr>
          <w:color w:val="000000"/>
        </w:rPr>
        <w:t>“</w:t>
      </w:r>
      <w:r>
        <w:rPr>
          <w:rFonts w:ascii="Times New Roman" w:hAnsi="Times New Roman"/>
          <w:b/>
          <w:color w:val="000000"/>
          <w:sz w:val="24"/>
          <w:u w:val="single"/>
        </w:rPr>
        <w:t>Common Member</w:t>
      </w:r>
      <w:r>
        <w:rPr>
          <w:rFonts w:ascii="Times New Roman" w:hAnsi="Times New Roman"/>
          <w:color w:val="000000"/>
          <w:sz w:val="24"/>
        </w:rPr>
        <w:t>” means any Member holding Common Units from time to time.</w:t>
      </w:r>
    </w:p>
    <w:p>
      <w:pPr>
        <w:pStyle w:val="TextBody"/>
        <w:bidi w:val="0"/>
        <w:spacing w:before="0" w:after="240"/>
        <w:jc w:val="both"/>
        <w:rPr/>
      </w:pPr>
      <w:r>
        <w:rPr>
          <w:color w:val="000000"/>
        </w:rPr>
        <w:t>“</w:t>
      </w:r>
      <w:r>
        <w:rPr>
          <w:rFonts w:ascii="Times New Roman" w:hAnsi="Times New Roman"/>
          <w:b/>
          <w:color w:val="000000"/>
          <w:sz w:val="24"/>
          <w:u w:val="single"/>
        </w:rPr>
        <w:t>Common Units</w:t>
      </w:r>
      <w:r>
        <w:rPr>
          <w:rFonts w:ascii="Times New Roman" w:hAnsi="Times New Roman"/>
          <w:color w:val="000000"/>
          <w:sz w:val="24"/>
        </w:rPr>
        <w:t xml:space="preserve">” has the meaning set forth in </w:t>
      </w:r>
      <w:r>
        <w:rPr>
          <w:rFonts w:ascii="Times New Roman" w:hAnsi="Times New Roman"/>
          <w:color w:val="000000"/>
          <w:sz w:val="24"/>
          <w:u w:val="single"/>
        </w:rPr>
        <w:t>Section 3.07(e)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Company</w:t>
      </w:r>
      <w:r>
        <w:rPr>
          <w:rFonts w:ascii="Times New Roman" w:hAnsi="Times New Roman"/>
          <w:color w:val="000000"/>
          <w:sz w:val="24"/>
        </w:rPr>
        <w:t>” has the meaning specified in the Preamble.</w:t>
      </w:r>
    </w:p>
    <w:p>
      <w:pPr>
        <w:pStyle w:val="TextBody"/>
        <w:bidi w:val="0"/>
        <w:spacing w:before="0" w:after="240"/>
        <w:jc w:val="both"/>
        <w:rPr/>
      </w:pPr>
      <w:r>
        <w:rPr>
          <w:color w:val="000000"/>
        </w:rPr>
        <w:t>“</w:t>
      </w:r>
      <w:r>
        <w:rPr>
          <w:rFonts w:ascii="Times New Roman" w:hAnsi="Times New Roman"/>
          <w:b/>
          <w:color w:val="000000"/>
          <w:sz w:val="24"/>
          <w:u w:val="single"/>
        </w:rPr>
        <w:t>Company Business</w:t>
      </w:r>
      <w:r>
        <w:rPr>
          <w:rFonts w:ascii="Times New Roman" w:hAnsi="Times New Roman"/>
          <w:color w:val="000000"/>
          <w:sz w:val="24"/>
        </w:rPr>
        <w:t xml:space="preserve">” has the meaning set forth in </w:t>
      </w:r>
      <w:r>
        <w:rPr>
          <w:rFonts w:ascii="Times New Roman" w:hAnsi="Times New Roman"/>
          <w:color w:val="000000"/>
          <w:sz w:val="24"/>
          <w:u w:val="single"/>
        </w:rPr>
        <w:t>Section 2.05(a)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Company Expenses</w:t>
      </w:r>
      <w:r>
        <w:rPr>
          <w:rFonts w:ascii="Times New Roman" w:hAnsi="Times New Roman"/>
          <w:color w:val="000000"/>
          <w:sz w:val="24"/>
        </w:rPr>
        <w:t xml:space="preserve">” has the meaning set forth in </w:t>
      </w:r>
      <w:r>
        <w:rPr>
          <w:rFonts w:ascii="Times New Roman" w:hAnsi="Times New Roman"/>
          <w:color w:val="000000"/>
          <w:sz w:val="24"/>
          <w:u w:val="single"/>
        </w:rPr>
        <w:t>Section 4.03(b)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Company Group</w:t>
      </w:r>
      <w:r>
        <w:rPr>
          <w:rFonts w:ascii="Times New Roman" w:hAnsi="Times New Roman"/>
          <w:color w:val="000000"/>
          <w:sz w:val="24"/>
        </w:rPr>
        <w:t>” means the Company and its Affiliates.</w:t>
      </w:r>
    </w:p>
    <w:p>
      <w:pPr>
        <w:pStyle w:val="TextBody"/>
        <w:bidi w:val="0"/>
        <w:spacing w:before="0" w:after="240"/>
        <w:jc w:val="both"/>
        <w:rPr/>
      </w:pPr>
      <w:r>
        <w:rPr>
          <w:color w:val="000000"/>
        </w:rPr>
        <w:t>“</w:t>
      </w:r>
      <w:r>
        <w:rPr>
          <w:rFonts w:ascii="Times New Roman" w:hAnsi="Times New Roman"/>
          <w:b/>
          <w:color w:val="000000"/>
          <w:sz w:val="24"/>
          <w:u w:val="single"/>
        </w:rPr>
        <w:t>Company NOLs</w:t>
      </w:r>
      <w:r>
        <w:rPr>
          <w:rFonts w:ascii="Times New Roman" w:hAnsi="Times New Roman"/>
          <w:color w:val="000000"/>
          <w:sz w:val="24"/>
        </w:rPr>
        <w:t xml:space="preserve">” means any net operating losses incurred by the Company for United States federal income tax purposes. </w:t>
      </w:r>
    </w:p>
    <w:p>
      <w:pPr>
        <w:pStyle w:val="TextBody"/>
        <w:bidi w:val="0"/>
        <w:spacing w:before="0" w:after="240"/>
        <w:jc w:val="both"/>
        <w:rPr/>
      </w:pPr>
      <w:r>
        <w:rPr>
          <w:color w:val="000000"/>
        </w:rPr>
        <w:t>“</w:t>
      </w:r>
      <w:r>
        <w:rPr>
          <w:rFonts w:ascii="Times New Roman" w:hAnsi="Times New Roman"/>
          <w:b/>
          <w:color w:val="000000"/>
          <w:sz w:val="24"/>
          <w:u w:val="single"/>
        </w:rPr>
        <w:t>Control</w:t>
      </w:r>
      <w:r>
        <w:rPr>
          <w:rFonts w:ascii="Times New Roman" w:hAnsi="Times New Roman"/>
          <w:color w:val="000000"/>
          <w:sz w:val="24"/>
          <w:u w:val="single"/>
        </w:rPr>
        <w:t>,</w:t>
      </w:r>
      <w:r>
        <w:rPr>
          <w:rFonts w:ascii="Times New Roman" w:hAnsi="Times New Roman"/>
          <w:color w:val="000000"/>
          <w:sz w:val="24"/>
        </w:rPr>
        <w:t>” “</w:t>
      </w:r>
      <w:r>
        <w:rPr>
          <w:rFonts w:ascii="Times New Roman" w:hAnsi="Times New Roman"/>
          <w:b/>
          <w:color w:val="000000"/>
          <w:sz w:val="24"/>
          <w:u w:val="single"/>
        </w:rPr>
        <w:t>Controlled</w:t>
      </w:r>
      <w:r>
        <w:rPr>
          <w:rFonts w:ascii="Times New Roman" w:hAnsi="Times New Roman"/>
          <w:color w:val="000000"/>
          <w:sz w:val="24"/>
        </w:rPr>
        <w:t>” and “</w:t>
      </w:r>
      <w:r>
        <w:rPr>
          <w:rFonts w:ascii="Times New Roman" w:hAnsi="Times New Roman"/>
          <w:b/>
          <w:color w:val="000000"/>
          <w:sz w:val="24"/>
          <w:u w:val="single"/>
        </w:rPr>
        <w:t>Controlling</w:t>
      </w:r>
      <w:r>
        <w:rPr>
          <w:rFonts w:ascii="Times New Roman" w:hAnsi="Times New Roman"/>
          <w:color w:val="000000"/>
          <w:sz w:val="24"/>
        </w:rPr>
        <w:t>” mean the possession, directly or indirectly, of the power to direct or cause the direction of the management and policies of a Person, whether through the ownership of voting Securities, by contract or otherwise.</w:t>
      </w:r>
    </w:p>
    <w:p>
      <w:pPr>
        <w:pStyle w:val="TextBody"/>
        <w:bidi w:val="0"/>
        <w:spacing w:before="0" w:after="240"/>
        <w:jc w:val="both"/>
        <w:rPr/>
      </w:pPr>
      <w:r>
        <w:rPr>
          <w:color w:val="000000"/>
        </w:rPr>
        <w:t>“</w:t>
      </w:r>
      <w:r>
        <w:rPr>
          <w:rFonts w:ascii="Times New Roman" w:hAnsi="Times New Roman"/>
          <w:b/>
          <w:color w:val="000000"/>
          <w:sz w:val="24"/>
          <w:u w:val="single"/>
        </w:rPr>
        <w:t>Conversion</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4"/>
          <w:u w:val="single"/>
        </w:rPr>
        <w:t>Current Board Members</w:t>
      </w:r>
      <w:r>
        <w:rPr>
          <w:rFonts w:ascii="Times New Roman" w:hAnsi="Times New Roman"/>
          <w:color w:val="000000"/>
          <w:sz w:val="24"/>
        </w:rPr>
        <w:t>” has the meaning set forth in the definition of Change of Control.</w:t>
      </w:r>
    </w:p>
    <w:p>
      <w:pPr>
        <w:pStyle w:val="TextBody"/>
        <w:bidi w:val="0"/>
        <w:spacing w:before="0" w:after="240"/>
        <w:jc w:val="both"/>
        <w:rPr/>
      </w:pPr>
      <w:r>
        <w:rPr>
          <w:color w:val="000000"/>
        </w:rPr>
        <w:t>“</w:t>
      </w:r>
      <w:r>
        <w:rPr>
          <w:rFonts w:ascii="Times New Roman" w:hAnsi="Times New Roman"/>
          <w:b/>
          <w:color w:val="000000"/>
          <w:sz w:val="24"/>
          <w:u w:val="single"/>
        </w:rPr>
        <w:t>Default Rate</w:t>
      </w:r>
      <w:r>
        <w:rPr>
          <w:rFonts w:ascii="Times New Roman" w:hAnsi="Times New Roman"/>
          <w:color w:val="000000"/>
          <w:sz w:val="24"/>
        </w:rPr>
        <w:t xml:space="preserve">” means a rate of interest per annum equal to the applicable Distribution Rate </w:t>
      </w:r>
      <w:r>
        <w:rPr>
          <w:rFonts w:ascii="Times New Roman" w:hAnsi="Times New Roman"/>
          <w:i/>
          <w:color w:val="000000"/>
          <w:sz w:val="24"/>
          <w:u w:val="single"/>
        </w:rPr>
        <w:t>plus</w:t>
      </w:r>
      <w:r>
        <w:rPr>
          <w:rFonts w:ascii="Times New Roman" w:hAnsi="Times New Roman"/>
          <w:color w:val="000000"/>
          <w:sz w:val="24"/>
        </w:rPr>
        <w:t xml:space="preserve"> three percent (3%).</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Distribution Rate</w:t>
      </w:r>
      <w:r>
        <w:rPr>
          <w:rFonts w:ascii="Times New Roman" w:hAnsi="Times New Roman"/>
          <w:color w:val="000000"/>
          <w:sz w:val="24"/>
        </w:rPr>
        <w:t xml:space="preserve">” means a variable rate of interest per annum that fluctuates and resets on each Quarterly Distribution Date and is equal to (a) in the case of the Series A Preferred Units, the then-applicable SOFR </w:t>
      </w:r>
      <w:r>
        <w:rPr>
          <w:rFonts w:ascii="Times New Roman" w:hAnsi="Times New Roman"/>
          <w:i/>
          <w:color w:val="000000"/>
          <w:sz w:val="24"/>
          <w:u w:val="single"/>
        </w:rPr>
        <w:t>plus</w:t>
      </w:r>
      <w:r>
        <w:rPr>
          <w:rFonts w:ascii="Times New Roman" w:hAnsi="Times New Roman"/>
          <w:color w:val="000000"/>
          <w:sz w:val="24"/>
        </w:rPr>
        <w:t xml:space="preserve"> 8.25%, (b) in the case of the Series A1 Preferred Units, the then-applicable SOFR </w:t>
      </w:r>
      <w:r>
        <w:rPr>
          <w:rFonts w:ascii="Times New Roman" w:hAnsi="Times New Roman"/>
          <w:i/>
          <w:color w:val="000000"/>
          <w:sz w:val="24"/>
          <w:u w:val="single"/>
        </w:rPr>
        <w:t>plus</w:t>
      </w:r>
      <w:r>
        <w:rPr>
          <w:rFonts w:ascii="Times New Roman" w:hAnsi="Times New Roman"/>
          <w:color w:val="000000"/>
          <w:sz w:val="24"/>
        </w:rPr>
        <w:t xml:space="preserve"> 8.50%, (c) in the case of the Series B Preferred Units, the then-applicable SOFR </w:t>
      </w:r>
      <w:r>
        <w:rPr>
          <w:rFonts w:ascii="Times New Roman" w:hAnsi="Times New Roman"/>
          <w:i/>
          <w:color w:val="000000"/>
          <w:sz w:val="24"/>
          <w:u w:val="single"/>
        </w:rPr>
        <w:t>plus</w:t>
      </w:r>
      <w:r>
        <w:rPr>
          <w:rFonts w:ascii="Times New Roman" w:hAnsi="Times New Roman"/>
          <w:color w:val="000000"/>
          <w:sz w:val="24"/>
        </w:rPr>
        <w:t xml:space="preserve"> nine percent (9%), and (d) in the case of the Series B1 Preferred Units, the then-applicable SOFR </w:t>
      </w:r>
      <w:r>
        <w:rPr>
          <w:rFonts w:ascii="Times New Roman" w:hAnsi="Times New Roman"/>
          <w:i/>
          <w:color w:val="000000"/>
          <w:sz w:val="24"/>
          <w:u w:val="single"/>
        </w:rPr>
        <w:t>plus</w:t>
      </w:r>
      <w:r>
        <w:rPr>
          <w:rFonts w:ascii="Times New Roman" w:hAnsi="Times New Roman"/>
          <w:color w:val="000000"/>
          <w:sz w:val="24"/>
        </w:rPr>
        <w:t xml:space="preserve"> 9.25%;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the Distribution Rate for the Series A Preferred Units, Series A1 Preferred Units, Series B Preferred Units or Series B1 Preferred Units shall never be less than zero percent (0%).</w:t>
      </w:r>
    </w:p>
    <w:p>
      <w:pPr>
        <w:pStyle w:val="TextBody"/>
        <w:bidi w:val="0"/>
        <w:spacing w:before="0" w:after="240"/>
        <w:jc w:val="both"/>
        <w:rPr/>
      </w:pPr>
      <w:r>
        <w:rPr>
          <w:color w:val="000000"/>
        </w:rPr>
        <w:t>“</w:t>
      </w:r>
      <w:r>
        <w:rPr>
          <w:rFonts w:ascii="Times New Roman" w:hAnsi="Times New Roman"/>
          <w:b/>
          <w:color w:val="000000"/>
          <w:sz w:val="24"/>
          <w:u w:val="single"/>
        </w:rPr>
        <w:t>Dynamic Coverage Ratio</w:t>
      </w:r>
      <w:r>
        <w:rPr>
          <w:rFonts w:ascii="Times New Roman" w:hAnsi="Times New Roman"/>
          <w:color w:val="000000"/>
          <w:sz w:val="24"/>
        </w:rPr>
        <w:t>” means (a) during the period commencing on the Effective Date and ending on October 31, 2026, [***], (b) during the period commencing on November 1, 2026 and ending on November 30, 2026, [***], (c) during the period commencing on December 1, 2026 and ending on December 31, 2026, [***], (d) during the period commencing on January 1, 2027 and ending on February 28, 2027, [***], and (e) at all other times,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 has the meaning set forth in </w:t>
      </w:r>
      <w:r>
        <w:rPr>
          <w:rFonts w:ascii="Times New Roman" w:hAnsi="Times New Roman"/>
          <w:color w:val="000000"/>
          <w:sz w:val="24"/>
          <w:u w:val="single"/>
        </w:rPr>
        <w:t>Section 12.08(a)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Early Redemption Price</w:t>
      </w:r>
      <w:r>
        <w:rPr>
          <w:rFonts w:ascii="Times New Roman" w:hAnsi="Times New Roman"/>
          <w:color w:val="000000"/>
          <w:sz w:val="24"/>
        </w:rPr>
        <w:t xml:space="preserve">” means, with respect to each redeemed Preferred Unit, an amount equal to (a) (i) the Liquidation Preference of such Preferred Unit, </w:t>
      </w:r>
      <w:r>
        <w:rPr>
          <w:rFonts w:ascii="Times New Roman" w:hAnsi="Times New Roman"/>
          <w:i/>
          <w:color w:val="000000"/>
          <w:sz w:val="24"/>
          <w:u w:val="single"/>
        </w:rPr>
        <w:t>multiplied by</w:t>
      </w:r>
      <w:r>
        <w:rPr>
          <w:rFonts w:ascii="Times New Roman" w:hAnsi="Times New Roman"/>
          <w:color w:val="000000"/>
          <w:sz w:val="24"/>
        </w:rPr>
        <w:t xml:space="preserve"> (ii) the Redemption Premium Percentage, </w:t>
      </w:r>
      <w:r>
        <w:rPr>
          <w:rFonts w:ascii="Times New Roman" w:hAnsi="Times New Roman"/>
          <w:i/>
          <w:color w:val="000000"/>
          <w:sz w:val="24"/>
          <w:u w:val="single"/>
        </w:rPr>
        <w:t>plus</w:t>
      </w:r>
      <w:r>
        <w:rPr>
          <w:rFonts w:ascii="Times New Roman" w:hAnsi="Times New Roman"/>
          <w:color w:val="000000"/>
          <w:sz w:val="24"/>
        </w:rPr>
        <w:t xml:space="preserve"> (b) in the case of each redeemed Series B/B1 Preferred Unit only, the Special Redemption Price (if any) on such Series B/B1 Preferred Unit.</w:t>
      </w:r>
    </w:p>
    <w:p>
      <w:pPr>
        <w:pStyle w:val="TextBody"/>
        <w:bidi w:val="0"/>
        <w:spacing w:before="0" w:after="240"/>
        <w:jc w:val="both"/>
        <w:rPr/>
      </w:pPr>
      <w:r>
        <w:rPr>
          <w:color w:val="000000"/>
        </w:rPr>
        <w:t>“</w:t>
      </w:r>
      <w:r>
        <w:rPr>
          <w:rFonts w:ascii="Times New Roman" w:hAnsi="Times New Roman"/>
          <w:b/>
          <w:color w:val="000000"/>
          <w:sz w:val="24"/>
          <w:u w:val="single"/>
        </w:rPr>
        <w:t>Employee Acknowledgement</w:t>
      </w:r>
      <w:r>
        <w:rPr>
          <w:rFonts w:ascii="Times New Roman" w:hAnsi="Times New Roman"/>
          <w:color w:val="000000"/>
          <w:sz w:val="24"/>
        </w:rPr>
        <w:t xml:space="preserve">” has the meaning set forth in </w:t>
      </w:r>
      <w:r>
        <w:rPr>
          <w:rFonts w:ascii="Times New Roman" w:hAnsi="Times New Roman"/>
          <w:color w:val="000000"/>
          <w:sz w:val="24"/>
          <w:u w:val="single"/>
        </w:rPr>
        <w:t>Section 12.11(b)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Entity</w:t>
      </w:r>
      <w:r>
        <w:rPr>
          <w:rFonts w:ascii="Times New Roman" w:hAnsi="Times New Roman"/>
          <w:color w:val="000000"/>
          <w:sz w:val="24"/>
        </w:rPr>
        <w:t>” means any general partnership, limited partnership, limited liability company, corporation, joint venture, trust, business trust, cooperative, association or other entity.</w:t>
      </w:r>
    </w:p>
    <w:p>
      <w:pPr>
        <w:pStyle w:val="TextBody"/>
        <w:bidi w:val="0"/>
        <w:spacing w:before="0" w:after="240"/>
        <w:jc w:val="both"/>
        <w:rPr/>
      </w:pPr>
      <w:r>
        <w:rPr>
          <w:color w:val="000000"/>
        </w:rPr>
        <w:t>“</w:t>
      </w:r>
      <w:r>
        <w:rPr>
          <w:rFonts w:ascii="Times New Roman" w:hAnsi="Times New Roman"/>
          <w:b/>
          <w:color w:val="000000"/>
          <w:sz w:val="24"/>
          <w:u w:val="single"/>
        </w:rPr>
        <w:t>Event of Default</w:t>
      </w:r>
      <w:r>
        <w:rPr>
          <w:rFonts w:ascii="Times New Roman" w:hAnsi="Times New Roman"/>
          <w:color w:val="000000"/>
          <w:sz w:val="24"/>
        </w:rPr>
        <w:t>” means the occurrence of any of the following events: (a) the failure of the Company to pay any dividends or distributions on the Preferred Units (including the failure to pay any Preferred Accruing Distributions on a quarterly basis) when due, (b) the failure of the Company to redeem or repurchase any Preferred Units when required under this Agreement, (c) the Company makes a determination to discontinue (or does cease to conduct) business, (d) the Company, the Vroom Member, Vroom Parent, UACC or any other direct or indirect entity through which Vroom Parent owns an interest in the Company (each of the foregoing, a “</w:t>
      </w:r>
      <w:r>
        <w:rPr>
          <w:rFonts w:ascii="Times New Roman" w:hAnsi="Times New Roman"/>
          <w:b/>
          <w:color w:val="000000"/>
          <w:sz w:val="24"/>
          <w:u w:val="single"/>
        </w:rPr>
        <w:t>Material Group Member</w:t>
      </w:r>
      <w:r>
        <w:rPr>
          <w:rFonts w:ascii="Times New Roman" w:hAnsi="Times New Roman"/>
          <w:color w:val="000000"/>
          <w:sz w:val="24"/>
        </w:rPr>
        <w:t xml:space="preserve">”) makes an assignment for the benefit of creditors or admits in writing its inability to pay its debts generally as they become due; or an order, judgment or decree is entered adjudicating any Material Group Member as bankrupt or insolvent or any order for relief with respect to any Material Group Member is entered under the bankruptcy or insolvency Laws of any jurisdiction, and such order, judgment or decree shall continue unstayed and in effect for any period of sixty (60) days; (e) the Company petitions or applies to any tribunal for the appointment of a custodian, trustee, receiver or liquidator of the Company or any substantial part of the assets of the Company, or commences any proceeding relating to it under any bankruptcy, reorganization, arrangement, insolvency, readjustment of debt, dissolution or liquidation Law of any jurisdiction or any such petition or application is filed, or any such proceeding is commenced, against any Material Group Member and either (i) the Company or such Material Group Member by any act confirms its approval thereof, consents thereto or acquiescence therein or (ii) such petition application or proceeding is not dismissed within sixty (60) days; (f) any material breach by the Company, Vroom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 or the Vroom Member of any of their respective representations, warranties, covenants or agreements under this Agreement (including Section 12.11) or the Purchase Agreement (which breach, if capable of being cured, is not cured by the Company, Vroom Parent or the Vroom Member (as applicable) within twenty (20) Business Days of the date of such breach); or (g) the Company is required to register as an “investment company” within the meaning of the Investment Company Act, or the Company relies on the exemptions from registration set forth in Section 3(c)(1) or Section 3(c)(7) of the Investment Company Act.</w:t>
      </w:r>
    </w:p>
    <w:p>
      <w:pPr>
        <w:pStyle w:val="TextBody"/>
        <w:bidi w:val="0"/>
        <w:spacing w:before="0" w:after="240"/>
        <w:jc w:val="both"/>
        <w:rPr/>
      </w:pPr>
      <w:r>
        <w:rPr>
          <w:color w:val="000000"/>
        </w:rPr>
        <w:t>“</w:t>
      </w:r>
      <w:r>
        <w:rPr>
          <w:rFonts w:ascii="Times New Roman" w:hAnsi="Times New Roman"/>
          <w:b/>
          <w:color w:val="000000"/>
          <w:sz w:val="24"/>
          <w:u w:val="single"/>
        </w:rPr>
        <w:t>Excess Cash</w:t>
      </w:r>
      <w:r>
        <w:rPr>
          <w:rFonts w:ascii="Times New Roman" w:hAnsi="Times New Roman"/>
          <w:color w:val="000000"/>
          <w:sz w:val="24"/>
        </w:rPr>
        <w:t xml:space="preserve">” means, as of the time of determination, an amount of cash equal to (a) all available cash of the Company, </w:t>
      </w:r>
      <w:r>
        <w:rPr>
          <w:rFonts w:ascii="Times New Roman" w:hAnsi="Times New Roman"/>
          <w:i/>
          <w:color w:val="000000"/>
          <w:sz w:val="24"/>
          <w:u w:val="single"/>
        </w:rPr>
        <w:t>minus</w:t>
      </w:r>
      <w:r>
        <w:rPr>
          <w:rFonts w:ascii="Times New Roman" w:hAnsi="Times New Roman"/>
          <w:color w:val="000000"/>
          <w:sz w:val="24"/>
        </w:rPr>
        <w:t xml:space="preserve"> (b) all accrued but unpaid distributions on the Preferred Units (including the Preferred Accruing Distributions), </w:t>
      </w:r>
      <w:r>
        <w:rPr>
          <w:rFonts w:ascii="Times New Roman" w:hAnsi="Times New Roman"/>
          <w:i/>
          <w:color w:val="000000"/>
          <w:sz w:val="24"/>
          <w:u w:val="single"/>
        </w:rPr>
        <w:t>minus</w:t>
      </w:r>
      <w:r>
        <w:rPr>
          <w:rFonts w:ascii="Times New Roman" w:hAnsi="Times New Roman"/>
          <w:color w:val="000000"/>
          <w:sz w:val="24"/>
        </w:rPr>
        <w:t xml:space="preserve"> (c) all Company Expenses, </w:t>
      </w:r>
      <w:r>
        <w:rPr>
          <w:rFonts w:ascii="Times New Roman" w:hAnsi="Times New Roman"/>
          <w:i/>
          <w:color w:val="000000"/>
          <w:sz w:val="24"/>
          <w:u w:val="single"/>
        </w:rPr>
        <w:t>minus</w:t>
      </w:r>
      <w:r>
        <w:rPr>
          <w:rFonts w:ascii="Times New Roman" w:hAnsi="Times New Roman"/>
          <w:color w:val="000000"/>
          <w:sz w:val="24"/>
        </w:rPr>
        <w:t xml:space="preserve"> (d) the Reserves (which must be determined and established as of such time of determination). </w:t>
      </w:r>
    </w:p>
    <w:p>
      <w:pPr>
        <w:pStyle w:val="TextBody"/>
        <w:bidi w:val="0"/>
        <w:spacing w:before="0" w:after="240"/>
        <w:jc w:val="both"/>
        <w:rPr/>
      </w:pPr>
      <w:r>
        <w:rPr>
          <w:color w:val="000000"/>
        </w:rPr>
        <w:t>“</w:t>
      </w:r>
      <w:r>
        <w:rPr>
          <w:rFonts w:ascii="Times New Roman" w:hAnsi="Times New Roman"/>
          <w:b/>
          <w:color w:val="000000"/>
          <w:sz w:val="24"/>
          <w:u w:val="single"/>
        </w:rPr>
        <w:t>Excluded Assets</w:t>
      </w:r>
      <w:r>
        <w:rPr>
          <w:rFonts w:ascii="Times New Roman" w:hAnsi="Times New Roman"/>
          <w:color w:val="000000"/>
          <w:sz w:val="24"/>
        </w:rPr>
        <w:t xml:space="preserve">” means those assets set forth on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Excluded Assets and Liabilities</w:t>
      </w:r>
      <w:r>
        <w:rPr>
          <w:rFonts w:ascii="Times New Roman" w:hAnsi="Times New Roman"/>
          <w:color w:val="000000"/>
          <w:sz w:val="24"/>
        </w:rPr>
        <w:t>” means the Excluded Assets and the Excluded Liabilities.</w:t>
      </w:r>
    </w:p>
    <w:p>
      <w:pPr>
        <w:pStyle w:val="TextBody"/>
        <w:bidi w:val="0"/>
        <w:spacing w:before="0" w:after="240"/>
        <w:jc w:val="both"/>
        <w:rPr/>
      </w:pPr>
      <w:r>
        <w:rPr>
          <w:color w:val="000000"/>
        </w:rPr>
        <w:t>“</w:t>
      </w:r>
      <w:r>
        <w:rPr>
          <w:rFonts w:ascii="Times New Roman" w:hAnsi="Times New Roman"/>
          <w:b/>
          <w:color w:val="000000"/>
          <w:sz w:val="24"/>
          <w:u w:val="single"/>
        </w:rPr>
        <w:t>Excluded Assets and Liabilities Holders</w:t>
      </w:r>
      <w:r>
        <w:rPr>
          <w:rFonts w:ascii="Times New Roman" w:hAnsi="Times New Roman"/>
          <w:color w:val="000000"/>
          <w:sz w:val="24"/>
        </w:rPr>
        <w:t xml:space="preserve">” has the meaning set forth in </w:t>
      </w:r>
      <w:r>
        <w:rPr>
          <w:rFonts w:ascii="Times New Roman" w:hAnsi="Times New Roman"/>
          <w:color w:val="000000"/>
          <w:sz w:val="24"/>
          <w:u w:val="single"/>
        </w:rPr>
        <w:t>Section 12.07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Excluded Liabilities</w:t>
      </w:r>
      <w:r>
        <w:rPr>
          <w:rFonts w:ascii="Times New Roman" w:hAnsi="Times New Roman"/>
          <w:color w:val="000000"/>
          <w:sz w:val="24"/>
        </w:rPr>
        <w:t>” means any and all liabilities, obligations, debts, claims, losses, damages, fines, penalties, costs, expenses, or commitments of the Company of any kind or nature whatsoever, whether known or unknown, asserted or unasserted, fixed or contingent, accrued or unaccrued, matured or unmatured, liquidated or unliquidated, direct or indirect, and whether arising under contract, law, equity, tort, or otherwise, that are not expressly included in the definition of Specified Liabilities. For the avoidance of doubt, “Excluded Liabilities” shall include any and all liabilities and obligations of the Company arising out of or relating to (a) the intellectual property transferred and/or assigned by the Company to Vast pursuant to the IP Assignment Agreement (the “</w:t>
      </w:r>
      <w:r>
        <w:rPr>
          <w:rFonts w:ascii="Times New Roman" w:hAnsi="Times New Roman"/>
          <w:b/>
          <w:color w:val="000000"/>
          <w:sz w:val="24"/>
          <w:u w:val="single"/>
        </w:rPr>
        <w:t>Assigned Intellectual Property</w:t>
      </w:r>
      <w:r>
        <w:rPr>
          <w:rFonts w:ascii="Times New Roman" w:hAnsi="Times New Roman"/>
          <w:color w:val="000000"/>
          <w:sz w:val="24"/>
        </w:rPr>
        <w:t xml:space="preserve">”), and (b) the Transferred Employees (including any claim asserted by or on behalf of a Transferred Employee) and the transactions contemplated in </w:t>
      </w:r>
      <w:r>
        <w:rPr>
          <w:rFonts w:ascii="Times New Roman" w:hAnsi="Times New Roman"/>
          <w:color w:val="000000"/>
          <w:sz w:val="24"/>
          <w:u w:val="single"/>
        </w:rPr>
        <w:t>Section 12.11</w:t>
      </w:r>
      <w:r>
        <w:rPr>
          <w:rFonts w:ascii="Times New Roman" w:hAnsi="Times New Roman"/>
          <w:color w:val="000000"/>
          <w:sz w:val="24"/>
        </w:rPr>
        <w:t>, and (c) any benefit or compensation plan, program, policy or arrangement presently or formerly maintained, sponsored, contributed to (or obligated to be contributed to) or entered into by Company, whether or not such liability or obligation arises on, prior to or after the Reference Date.</w:t>
      </w:r>
    </w:p>
    <w:p>
      <w:pPr>
        <w:pStyle w:val="TextBody"/>
        <w:bidi w:val="0"/>
        <w:spacing w:before="0" w:after="240"/>
        <w:jc w:val="both"/>
        <w:rPr/>
      </w:pPr>
      <w:r>
        <w:rPr>
          <w:color w:val="000000"/>
        </w:rPr>
        <w:t>“</w:t>
      </w:r>
      <w:r>
        <w:rPr>
          <w:rFonts w:ascii="Times New Roman" w:hAnsi="Times New Roman"/>
          <w:b/>
          <w:color w:val="000000"/>
          <w:sz w:val="24"/>
          <w:u w:val="single"/>
        </w:rPr>
        <w:t>Excluded Opportunity</w:t>
      </w:r>
      <w:r>
        <w:rPr>
          <w:rFonts w:ascii="Times New Roman" w:hAnsi="Times New Roman"/>
          <w:color w:val="000000"/>
          <w:sz w:val="24"/>
        </w:rPr>
        <w:t xml:space="preserve">” has the meaning set forth in </w:t>
      </w:r>
      <w:r>
        <w:rPr>
          <w:rFonts w:ascii="Times New Roman" w:hAnsi="Times New Roman"/>
          <w:color w:val="000000"/>
          <w:sz w:val="24"/>
          <w:u w:val="single"/>
        </w:rPr>
        <w:t>Section 4.06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Fair Market Value</w:t>
      </w:r>
      <w:r>
        <w:rPr>
          <w:rFonts w:ascii="Times New Roman" w:hAnsi="Times New Roman"/>
          <w:color w:val="000000"/>
          <w:sz w:val="24"/>
        </w:rPr>
        <w:t xml:space="preserve">” means, as applicable, (a) with respect to any Unit or class of Units, the per Unit value thereof, assuming a sale of all of the Company’s assets (including goodwill), by a willing seller to a willing buyer in an arm’s-length transaction (which amount per Unit shall not include any discount to reflect that a Unit represents a minority interest in the Company, is non-voting or is individually illiquid) and shall be reasonably determined in good faith by the Board of Managers, and (b) with respect to any Residual Interests, the fair value thereof determined using a fair value measurement framework under GAAP using inputs and assumptions that are consistent with the inputs and assumptions that UACC uses in connection with the calculation of fair value for purposes of Regulation RR of the Exchange Act for the related securitization transaction, as adjusted for the actual performance of the underlying asset pool as of the end of the most recent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collection period, with all such inputs and assumptions being reasonably determined in good faith by the Board of Managers. Without limiting the foregoing, the Board of Managers shall determine the Fair Market Value of the Common Units (or any Common Unit) based on (i) the most recent Appraisal of the Company’s Residual Interests in UACST 2023-1, UACST 2024-1, UACST 2025-1, UACST 2026-1 and any other Residual Interests held by the Company and (ii) the most recent valuation report prepared by an independent third-party valuation firm for the UACC Loan (and any Indebtedness owed by UACC and/or its Subsidiaries to the Company). [***] Promptly upon the determination of Fair Market Value at any time, the Board of Managers shall provide written notice to the Investor Member of such Fair Market Value, including any applicable Appraisal, valuation report and any relevant financial data and other materials used in such determination. If the Investor Member disputes such determination and delivers to the Board of Managers a written notice of objection within ten (10) Business Days after the Board of Managers delivers its determination, the Company and the Investor Member will attempt in good faith to mutually agree upon the Fair Market Value, but in the event that the parties are unable to agree within a ten (10) Business Day period (or such longer period as the parties may agree), the Fair Market Value will be conclusively determined by a qualified independent appraiser selected by the Board of Managers with the prior consent of the Investor Member (the “</w:t>
      </w:r>
      <w:r>
        <w:rPr>
          <w:rFonts w:ascii="Times New Roman" w:hAnsi="Times New Roman"/>
          <w:b/>
          <w:color w:val="000000"/>
          <w:sz w:val="24"/>
          <w:u w:val="single"/>
        </w:rPr>
        <w:t>Independent Appraiser</w:t>
      </w:r>
      <w:r>
        <w:rPr>
          <w:rFonts w:ascii="Times New Roman" w:hAnsi="Times New Roman"/>
          <w:color w:val="000000"/>
          <w:sz w:val="24"/>
        </w:rPr>
        <w:t xml:space="preserve">”). The Investor Member and the Company shall each be responsible for fifty percent (50%) of the costs of the Independent Appraiser, unless otherwise agreed in writing by such parties. </w:t>
      </w:r>
    </w:p>
    <w:p>
      <w:pPr>
        <w:pStyle w:val="TextBody"/>
        <w:bidi w:val="0"/>
        <w:spacing w:before="0" w:after="240"/>
        <w:jc w:val="both"/>
        <w:rPr/>
      </w:pPr>
      <w:r>
        <w:rPr>
          <w:color w:val="000000"/>
        </w:rPr>
        <w:t>“</w:t>
      </w:r>
      <w:r>
        <w:rPr>
          <w:rFonts w:ascii="Times New Roman" w:hAnsi="Times New Roman"/>
          <w:b/>
          <w:color w:val="000000"/>
          <w:sz w:val="24"/>
          <w:u w:val="single"/>
        </w:rPr>
        <w:t>First LLC Agreement</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4"/>
          <w:u w:val="single"/>
        </w:rPr>
        <w:t>Fiscal Year</w:t>
      </w:r>
      <w:r>
        <w:rPr>
          <w:rFonts w:ascii="Times New Roman" w:hAnsi="Times New Roman"/>
          <w:color w:val="000000"/>
          <w:sz w:val="24"/>
        </w:rPr>
        <w:t xml:space="preserve">” has the meaning set forth in </w:t>
      </w:r>
      <w:r>
        <w:rPr>
          <w:rFonts w:ascii="Times New Roman" w:hAnsi="Times New Roman"/>
          <w:color w:val="000000"/>
          <w:sz w:val="24"/>
          <w:u w:val="single"/>
        </w:rPr>
        <w:t>Section 2.07</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Fundamental Event</w:t>
      </w:r>
      <w:r>
        <w:rPr>
          <w:rFonts w:ascii="Times New Roman" w:hAnsi="Times New Roman"/>
          <w:color w:val="000000"/>
          <w:sz w:val="24"/>
        </w:rPr>
        <w:t xml:space="preserve">” means any transaction or series of related transactions (including an initial public offering) that results in, or would reasonably be expected to result in, a material alteration of the capital structure, ownership, or business of the Company or its Subsidiaries, the Vroom Member or Vroom Parent. </w:t>
      </w:r>
    </w:p>
    <w:p>
      <w:pPr>
        <w:pStyle w:val="TextBody"/>
        <w:bidi w:val="0"/>
        <w:spacing w:before="0" w:after="240"/>
        <w:jc w:val="both"/>
        <w:rPr/>
      </w:pPr>
      <w:r>
        <w:rPr>
          <w:color w:val="000000"/>
        </w:rPr>
        <w:t>“</w:t>
      </w:r>
      <w:r>
        <w:rPr>
          <w:rFonts w:ascii="Times New Roman" w:hAnsi="Times New Roman"/>
          <w:b/>
          <w:color w:val="000000"/>
          <w:sz w:val="24"/>
          <w:u w:val="single"/>
        </w:rPr>
        <w:t>GAAP</w:t>
      </w:r>
      <w:r>
        <w:rPr>
          <w:rFonts w:ascii="Times New Roman" w:hAnsi="Times New Roman"/>
          <w:color w:val="000000"/>
          <w:sz w:val="24"/>
        </w:rPr>
        <w:t>” means generally accepted accounting principles in the United States.</w:t>
      </w:r>
    </w:p>
    <w:p>
      <w:pPr>
        <w:pStyle w:val="TextBody"/>
        <w:bidi w:val="0"/>
        <w:spacing w:before="0" w:after="240"/>
        <w:jc w:val="both"/>
        <w:rPr/>
      </w:pPr>
      <w:r>
        <w:rPr>
          <w:color w:val="000000"/>
        </w:rPr>
        <w:t>“</w:t>
      </w:r>
      <w:r>
        <w:rPr>
          <w:rFonts w:ascii="Times New Roman" w:hAnsi="Times New Roman"/>
          <w:b/>
          <w:color w:val="000000"/>
          <w:sz w:val="24"/>
          <w:u w:val="single"/>
        </w:rPr>
        <w:t>Governmental Authority</w:t>
      </w:r>
      <w:r>
        <w:rPr>
          <w:rFonts w:ascii="Times New Roman" w:hAnsi="Times New Roman"/>
          <w:color w:val="000000"/>
          <w:sz w:val="24"/>
        </w:rPr>
        <w:t>” means any government, governmental agency, department, bureau, office, commission, authority, or instrumentality, or court of competent jurisdiction, tribunal, judicial or arbitral body or other regulatory authority, in each case whether foreign, federal, state, local or provincial.</w:t>
      </w:r>
    </w:p>
    <w:p>
      <w:pPr>
        <w:pStyle w:val="TextBody"/>
        <w:bidi w:val="0"/>
        <w:jc w:val="both"/>
        <w:rPr/>
      </w:pPr>
      <w:r>
        <w:rPr>
          <w:color w:val="000000"/>
        </w:rPr>
        <w:t>“</w:t>
      </w:r>
      <w:r>
        <w:rPr>
          <w:rFonts w:ascii="Times New Roman" w:hAnsi="Times New Roman"/>
          <w:b/>
          <w:color w:val="000000"/>
          <w:sz w:val="24"/>
          <w:u w:val="single"/>
        </w:rPr>
        <w:t>Implied IRR</w:t>
      </w:r>
      <w:r>
        <w:rPr>
          <w:rFonts w:ascii="Times New Roman" w:hAnsi="Times New Roman"/>
          <w:color w:val="000000"/>
          <w:sz w:val="24"/>
        </w:rPr>
        <w:t xml:space="preserve">” has the meaning set forth in </w:t>
      </w:r>
      <w:r>
        <w:rPr>
          <w:rFonts w:ascii="Times New Roman" w:hAnsi="Times New Roman"/>
          <w:color w:val="000000"/>
          <w:sz w:val="24"/>
          <w:u w:val="single"/>
        </w:rPr>
        <w:t>Section 8.10(a)</w:t>
      </w:r>
      <w:r>
        <w:rPr>
          <w:rFonts w:ascii="Times New Roman" w:hAnsi="Times New Roman"/>
          <w:color w:val="000000"/>
          <w:sz w:val="24"/>
        </w:rPr>
        <w:t>.</w:t>
      </w:r>
    </w:p>
    <w:p>
      <w:pPr>
        <w:pStyle w:val="TextBody"/>
        <w:bidi w:val="0"/>
        <w:jc w:val="both"/>
        <w:rPr/>
      </w:pPr>
      <w:r>
        <w:rPr/>
        <w:t> </w:t>
      </w:r>
    </w:p>
    <w:p>
      <w:pPr>
        <w:pStyle w:val="TextBody"/>
        <w:bidi w:val="0"/>
        <w:jc w:val="both"/>
        <w:rPr/>
      </w:pPr>
      <w:bookmarkStart w:id="9" w:name="docxtextref435"/>
      <w:bookmarkEnd w:id="9"/>
      <w:r>
        <w:rPr>
          <w:color w:val="000000"/>
        </w:rPr>
        <w:t>“</w:t>
      </w:r>
      <w:r>
        <w:rPr>
          <w:rFonts w:ascii="Times New Roman" w:hAnsi="Times New Roman"/>
          <w:b/>
          <w:color w:val="000000"/>
          <w:sz w:val="24"/>
          <w:u w:val="single"/>
        </w:rPr>
        <w:t>Indebtedness</w:t>
      </w:r>
      <w:r>
        <w:rPr>
          <w:rFonts w:ascii="Times New Roman" w:hAnsi="Times New Roman"/>
          <w:color w:val="000000"/>
          <w:sz w:val="24"/>
        </w:rPr>
        <w:t>” means, with respect to any Person, all liabilities, obligations and indebtedness of such Person and its Subsidiaries (a) for borrowed money to a bank or other financial institution; (b) evidenced by a note, bond, debenture or similar instrument; (c) under letters of credit, banker’s acceptances or similar credit transaction; or (d) for any other Person’s obligation or indebtedness of the same type as any of the foregoing, whether as obligor, guarantor or otherwise.</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4"/>
          <w:u w:val="single"/>
        </w:rPr>
        <w:t>Indemnified Party</w:t>
      </w:r>
      <w:r>
        <w:rPr>
          <w:rFonts w:ascii="Times New Roman" w:hAnsi="Times New Roman"/>
          <w:color w:val="000000"/>
          <w:sz w:val="24"/>
        </w:rPr>
        <w:t xml:space="preserve">” has the meaning set forth in </w:t>
      </w:r>
      <w:r>
        <w:rPr>
          <w:rFonts w:ascii="Times New Roman" w:hAnsi="Times New Roman"/>
          <w:color w:val="000000"/>
          <w:sz w:val="24"/>
          <w:u w:val="single"/>
        </w:rPr>
        <w:t>Section 4.05(a)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Independent Appraiser</w:t>
      </w:r>
      <w:r>
        <w:rPr>
          <w:rFonts w:ascii="Times New Roman" w:hAnsi="Times New Roman"/>
          <w:color w:val="000000"/>
          <w:sz w:val="24"/>
        </w:rPr>
        <w:t>” has the meaning set forth in the definition of Fair Market Value.</w:t>
      </w:r>
    </w:p>
    <w:p>
      <w:pPr>
        <w:pStyle w:val="TextBody"/>
        <w:bidi w:val="0"/>
        <w:spacing w:before="0" w:after="240"/>
        <w:jc w:val="both"/>
        <w:rPr/>
      </w:pPr>
      <w:r>
        <w:rPr>
          <w:color w:val="000000"/>
        </w:rPr>
        <w:t>“</w:t>
      </w:r>
      <w:r>
        <w:rPr>
          <w:rFonts w:ascii="Times New Roman" w:hAnsi="Times New Roman"/>
          <w:b/>
          <w:color w:val="000000"/>
          <w:sz w:val="24"/>
          <w:u w:val="single"/>
        </w:rPr>
        <w:t>Initial Investment Purchase Agreement</w:t>
      </w:r>
      <w:r>
        <w:rPr>
          <w:rFonts w:ascii="Times New Roman" w:hAnsi="Times New Roman"/>
          <w:color w:val="000000"/>
          <w:sz w:val="24"/>
        </w:rPr>
        <w:t>” means that certain Preferred Unit Purchase Agreement, dated as of January 16, 2026, by and among the Company, the Investor Member and Vroom Parent.</w:t>
      </w:r>
    </w:p>
    <w:p>
      <w:pPr>
        <w:pStyle w:val="TextBody"/>
        <w:bidi w:val="0"/>
        <w:spacing w:before="0" w:after="240"/>
        <w:jc w:val="both"/>
        <w:rPr/>
      </w:pPr>
      <w:r>
        <w:rPr>
          <w:color w:val="000000"/>
        </w:rPr>
        <w:t>“</w:t>
      </w:r>
      <w:r>
        <w:rPr>
          <w:rFonts w:ascii="Times New Roman" w:hAnsi="Times New Roman"/>
          <w:b/>
          <w:color w:val="000000"/>
          <w:sz w:val="24"/>
          <w:u w:val="single"/>
        </w:rPr>
        <w:t>Initial Public Offering</w:t>
      </w:r>
      <w:r>
        <w:rPr>
          <w:rFonts w:ascii="Times New Roman" w:hAnsi="Times New Roman"/>
          <w:color w:val="000000"/>
          <w:sz w:val="24"/>
        </w:rPr>
        <w:t>” means any initial underwritten sale of Units, common stock or other equity Securities of the Company or the Vroom Member, or any entity that holds, directly or indirectly, all of the equity interests of the Company or the Vroom Member, pursuant to an effective registration statement under the Securities Act filed with the Securities and Exchange Commission on Form S-1 (or a successor form) after which sale such common stock or other equity Securities are (a) listed on a national stock exchange or authorized to be quoted on an inter-dealer quotation system of a registered national securities association and (b) registered under the Securities Exchange Act.</w:t>
      </w:r>
    </w:p>
    <w:p>
      <w:pPr>
        <w:pStyle w:val="TextBody"/>
        <w:bidi w:val="0"/>
        <w:spacing w:before="0" w:after="240"/>
        <w:jc w:val="both"/>
        <w:rPr/>
      </w:pPr>
      <w:r>
        <w:rPr>
          <w:color w:val="000000"/>
        </w:rPr>
        <w:t>“</w:t>
      </w:r>
      <w:r>
        <w:rPr>
          <w:rFonts w:ascii="Times New Roman" w:hAnsi="Times New Roman"/>
          <w:b/>
          <w:color w:val="000000"/>
          <w:sz w:val="24"/>
          <w:u w:val="single"/>
        </w:rPr>
        <w:t>Initial Vroom Units</w:t>
      </w:r>
      <w:r>
        <w:rPr>
          <w:rFonts w:ascii="Times New Roman" w:hAnsi="Times New Roman"/>
          <w:color w:val="000000"/>
          <w:sz w:val="24"/>
        </w:rPr>
        <w:t xml:space="preserve">” means the Common Units held by the Vroom Member on the Reference Date. </w:t>
      </w:r>
    </w:p>
    <w:p>
      <w:pPr>
        <w:pStyle w:val="TextBody"/>
        <w:bidi w:val="0"/>
        <w:spacing w:before="0" w:after="240"/>
        <w:jc w:val="both"/>
        <w:rPr/>
      </w:pPr>
      <w:r>
        <w:rPr>
          <w:color w:val="000000"/>
        </w:rPr>
        <w:t>“</w:t>
      </w:r>
      <w:r>
        <w:rPr>
          <w:rFonts w:ascii="Times New Roman" w:hAnsi="Times New Roman"/>
          <w:b/>
          <w:color w:val="000000"/>
          <w:sz w:val="24"/>
          <w:u w:val="single"/>
        </w:rPr>
        <w:t>Insolvency Event</w:t>
      </w:r>
      <w:r>
        <w:rPr>
          <w:rFonts w:ascii="Times New Roman" w:hAnsi="Times New Roman"/>
          <w:color w:val="000000"/>
          <w:sz w:val="24"/>
        </w:rPr>
        <w:t xml:space="preserve">” means any of the following: (a) </w:t>
      </w:r>
      <w:r>
        <w:rPr>
          <w:rFonts w:ascii="Times New Roman" w:hAnsi="Times New Roman"/>
          <w:color w:val="090909"/>
          <w:sz w:val="24"/>
        </w:rPr>
        <w:t>the Company or any Significant Subsidiary (as defined under Bankruptcy Law): (i) commences a voluntary case; (ii) consents to the entry of an order for relief against it in any voluntary case; (iii) consents to the appointment of a custodian of it or for any substantial part of its property; (iv) makes a general assignment for the benefit of its creditors; or (v) takes any comparable action under any foreign laws relating to insolvency; (b) a court of competent jurisdiction enters an order or decree under any Bankruptcy Law that: (i) is for relief against the Company or any Significant Subsidiary in an involuntary case; (ii) appoints a custodian of the Company or any Significant Subsidiary or for any substantial part of its property; or (iii) orders the winding up or liquidation of the Company or any Significant Subsidiary; or any similar relief is granted under any foreign Laws and the order or decree remains unstayed and in effect for sixty (60) days; or (c) the Company otherwise liquidates, dissolves or winds up its affairs.</w:t>
      </w:r>
    </w:p>
    <w:p>
      <w:pPr>
        <w:pStyle w:val="TextBody"/>
        <w:bidi w:val="0"/>
        <w:spacing w:before="0" w:after="240"/>
        <w:jc w:val="both"/>
        <w:rPr/>
      </w:pPr>
      <w:r>
        <w:rPr>
          <w:color w:val="000000"/>
        </w:rPr>
        <w:t>“</w:t>
      </w:r>
      <w:r>
        <w:rPr>
          <w:rFonts w:ascii="Times New Roman" w:hAnsi="Times New Roman"/>
          <w:b/>
          <w:color w:val="000000"/>
          <w:sz w:val="24"/>
          <w:u w:val="single"/>
        </w:rPr>
        <w:t>Investor Manager</w:t>
      </w:r>
      <w:r>
        <w:rPr>
          <w:rFonts w:ascii="Times New Roman" w:hAnsi="Times New Roman"/>
          <w:color w:val="000000"/>
          <w:sz w:val="24"/>
        </w:rPr>
        <w:t xml:space="preserve">” means any Manager designated by the Investor Member pursuant to </w:t>
      </w:r>
      <w:r>
        <w:rPr>
          <w:rFonts w:ascii="Times New Roman" w:hAnsi="Times New Roman"/>
          <w:color w:val="000000"/>
          <w:sz w:val="24"/>
          <w:u w:val="single"/>
        </w:rPr>
        <w:t>Section 4.01(a)(A)</w:t>
      </w:r>
      <w:r>
        <w:rPr>
          <w:rFonts w:ascii="Times New Roman" w:hAnsi="Times New Roman"/>
          <w:color w:val="000000"/>
          <w:sz w:val="24"/>
        </w:rPr>
        <w:t>. For the avoidance of doubt, any Investor Manager need not be an independent manager.</w:t>
      </w:r>
    </w:p>
    <w:p>
      <w:pPr>
        <w:pStyle w:val="TextBody"/>
        <w:bidi w:val="0"/>
        <w:spacing w:before="0" w:after="240"/>
        <w:jc w:val="both"/>
        <w:rPr/>
      </w:pPr>
      <w:r>
        <w:rPr>
          <w:color w:val="000000"/>
        </w:rPr>
        <w:t>“</w:t>
      </w:r>
      <w:r>
        <w:rPr>
          <w:rFonts w:ascii="Times New Roman" w:hAnsi="Times New Roman"/>
          <w:b/>
          <w:color w:val="000000"/>
          <w:sz w:val="24"/>
          <w:u w:val="single"/>
        </w:rPr>
        <w:t>Investor Member</w:t>
      </w:r>
      <w:r>
        <w:rPr>
          <w:rFonts w:ascii="Times New Roman" w:hAnsi="Times New Roman"/>
          <w:color w:val="000000"/>
          <w:sz w:val="24"/>
        </w:rPr>
        <w:t>” means SPE Holdings 2026-1, a Delaware statutory trust.</w:t>
      </w:r>
    </w:p>
    <w:p>
      <w:pPr>
        <w:pStyle w:val="TextBody"/>
        <w:bidi w:val="0"/>
        <w:spacing w:before="0" w:after="240"/>
        <w:jc w:val="both"/>
        <w:rPr/>
      </w:pPr>
      <w:r>
        <w:rPr>
          <w:color w:val="000000"/>
        </w:rPr>
        <w:t>“</w:t>
      </w:r>
      <w:r>
        <w:rPr>
          <w:rFonts w:ascii="Times New Roman" w:hAnsi="Times New Roman"/>
          <w:b/>
          <w:color w:val="000000"/>
          <w:sz w:val="24"/>
          <w:u w:val="single"/>
        </w:rPr>
        <w:t>Investor Residuals</w:t>
      </w:r>
      <w:r>
        <w:rPr>
          <w:rFonts w:ascii="Times New Roman" w:hAnsi="Times New Roman"/>
          <w:color w:val="000000"/>
          <w:sz w:val="24"/>
        </w:rPr>
        <w:t>” means [***]</w:t>
      </w:r>
    </w:p>
    <w:p>
      <w:pPr>
        <w:pStyle w:val="TextBody"/>
        <w:bidi w:val="0"/>
        <w:spacing w:before="0" w:after="240"/>
        <w:jc w:val="both"/>
        <w:rPr/>
      </w:pPr>
      <w:r>
        <w:rPr>
          <w:color w:val="000000"/>
        </w:rPr>
        <w:t>“</w:t>
      </w:r>
      <w:r>
        <w:rPr>
          <w:rFonts w:ascii="Times New Roman" w:hAnsi="Times New Roman"/>
          <w:b/>
          <w:color w:val="000000"/>
          <w:sz w:val="24"/>
          <w:u w:val="single"/>
        </w:rPr>
        <w:t>Investment Company Act</w:t>
      </w:r>
      <w:r>
        <w:rPr>
          <w:rFonts w:ascii="Times New Roman" w:hAnsi="Times New Roman"/>
          <w:color w:val="000000"/>
          <w:sz w:val="24"/>
        </w:rPr>
        <w:t>” means the Investment Company Act of 1940, as amended.</w:t>
      </w:r>
    </w:p>
    <w:p>
      <w:pPr>
        <w:pStyle w:val="TextBody"/>
        <w:bidi w:val="0"/>
        <w:spacing w:before="0" w:after="240"/>
        <w:jc w:val="both"/>
        <w:rPr/>
      </w:pPr>
      <w:r>
        <w:rPr>
          <w:color w:val="000000"/>
        </w:rPr>
        <w:t>“</w:t>
      </w:r>
      <w:r>
        <w:rPr>
          <w:rFonts w:ascii="Times New Roman" w:hAnsi="Times New Roman"/>
          <w:b/>
          <w:color w:val="000000"/>
          <w:sz w:val="24"/>
          <w:u w:val="single"/>
        </w:rPr>
        <w:t>IP Assignment Agreement</w:t>
      </w:r>
      <w:r>
        <w:rPr>
          <w:rFonts w:ascii="Times New Roman" w:hAnsi="Times New Roman"/>
          <w:color w:val="000000"/>
          <w:sz w:val="24"/>
        </w:rPr>
        <w:t>” means that certain Intercompany Intellectual Property Assignment Agreement, dated as of January 16, 2026, by and between the Company and Vast.</w:t>
      </w:r>
    </w:p>
    <w:p>
      <w:pPr>
        <w:pStyle w:val="TextBody"/>
        <w:bidi w:val="0"/>
        <w:spacing w:before="0" w:after="240"/>
        <w:jc w:val="both"/>
        <w:rPr/>
      </w:pPr>
      <w:r>
        <w:rPr>
          <w:color w:val="000000"/>
        </w:rPr>
        <w:t>“</w:t>
      </w:r>
      <w:r>
        <w:rPr>
          <w:rFonts w:ascii="Times New Roman" w:hAnsi="Times New Roman"/>
          <w:b/>
          <w:color w:val="000000"/>
          <w:sz w:val="24"/>
          <w:u w:val="single"/>
        </w:rPr>
        <w:t>IRR</w:t>
      </w:r>
      <w:r>
        <w:rPr>
          <w:rFonts w:ascii="Times New Roman" w:hAnsi="Times New Roman"/>
          <w:color w:val="000000"/>
          <w:sz w:val="24"/>
        </w:rPr>
        <w:t xml:space="preserve">” means the annualized effective compounded rate of return (expressed as a percentage per annum) that, when applied to the timing and amount of the relevant cash inflows and outflows with respect to an investment, causes the net present value of such cash flows to equal zero.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Issuance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3.05(b)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Law</w:t>
      </w:r>
      <w:r>
        <w:rPr>
          <w:rFonts w:ascii="Times New Roman" w:hAnsi="Times New Roman"/>
          <w:color w:val="000000"/>
          <w:sz w:val="24"/>
        </w:rPr>
        <w:t>” means any applicable constitutional provision, statute, act, code (including the Code), law, regulation, rule, ordinance, order, decree, ruling, proclamation, resolution, judgment, decision, declaration, or interpretative or advisory opinion or letter of a Governmental Authority.</w:t>
      </w:r>
    </w:p>
    <w:p>
      <w:pPr>
        <w:pStyle w:val="TextBody"/>
        <w:bidi w:val="0"/>
        <w:spacing w:before="0" w:after="240"/>
        <w:jc w:val="both"/>
        <w:rPr/>
      </w:pPr>
      <w:r>
        <w:rPr>
          <w:color w:val="000000"/>
        </w:rPr>
        <w:t>“</w:t>
      </w:r>
      <w:r>
        <w:rPr>
          <w:rFonts w:ascii="Times New Roman" w:hAnsi="Times New Roman"/>
          <w:b/>
          <w:color w:val="000000"/>
          <w:sz w:val="24"/>
          <w:u w:val="single"/>
        </w:rPr>
        <w:t>Liquidation Preference</w:t>
      </w:r>
      <w:r>
        <w:rPr>
          <w:rFonts w:ascii="Times New Roman" w:hAnsi="Times New Roman"/>
          <w:color w:val="000000"/>
          <w:sz w:val="24"/>
        </w:rPr>
        <w:t xml:space="preserve">” means (a) with respect to each Series A Preferred Unit, an amount equal to (i) the Series A Preferred Stated Value, </w:t>
      </w:r>
      <w:r>
        <w:rPr>
          <w:rFonts w:ascii="Times New Roman" w:hAnsi="Times New Roman"/>
          <w:i/>
          <w:color w:val="000000"/>
          <w:sz w:val="24"/>
          <w:u w:val="single"/>
        </w:rPr>
        <w:t>plus</w:t>
      </w:r>
      <w:r>
        <w:rPr>
          <w:rFonts w:ascii="Times New Roman" w:hAnsi="Times New Roman"/>
          <w:color w:val="000000"/>
          <w:sz w:val="24"/>
        </w:rPr>
        <w:t xml:space="preserve"> (ii) any accrued but unpaid distributions on such Series A Preferred Unit (including any Series A/A1 Accruing Distributions that are added to the Liquidation Preference of such Series A Preferred Unit pursuant to </w:t>
      </w:r>
      <w:r>
        <w:rPr>
          <w:rFonts w:ascii="Times New Roman" w:hAnsi="Times New Roman"/>
          <w:color w:val="000000"/>
          <w:sz w:val="24"/>
          <w:u w:val="single"/>
        </w:rPr>
        <w:t>Section 5.01(e)</w:t>
      </w:r>
      <w:r>
        <w:rPr>
          <w:rFonts w:ascii="Times New Roman" w:hAnsi="Times New Roman"/>
          <w:color w:val="000000"/>
          <w:sz w:val="24"/>
        </w:rPr>
        <w:t xml:space="preserve">), (b) with respect to each Series A1 Preferred Unit, an amount equal to (i) the Series A1 Preferred Stated Value, </w:t>
      </w:r>
      <w:r>
        <w:rPr>
          <w:rFonts w:ascii="Times New Roman" w:hAnsi="Times New Roman"/>
          <w:i/>
          <w:color w:val="000000"/>
          <w:sz w:val="24"/>
          <w:u w:val="single"/>
        </w:rPr>
        <w:t>plus</w:t>
      </w:r>
      <w:r>
        <w:rPr>
          <w:rFonts w:ascii="Times New Roman" w:hAnsi="Times New Roman"/>
          <w:color w:val="000000"/>
          <w:sz w:val="24"/>
        </w:rPr>
        <w:t xml:space="preserve"> (ii) any accrued but unpaid distributions on such Series A1 Preferred Unit (including any Series A/A1 Accruing Distributions that are added to the Liquidation Preference of such Series A1 Preferred Unit pursuant to </w:t>
      </w:r>
      <w:r>
        <w:rPr>
          <w:rFonts w:ascii="Times New Roman" w:hAnsi="Times New Roman"/>
          <w:color w:val="000000"/>
          <w:sz w:val="24"/>
          <w:u w:val="single"/>
        </w:rPr>
        <w:t>Section 5.01(e)</w:t>
      </w:r>
      <w:r>
        <w:rPr>
          <w:rFonts w:ascii="Times New Roman" w:hAnsi="Times New Roman"/>
          <w:color w:val="000000"/>
          <w:sz w:val="24"/>
        </w:rPr>
        <w:t xml:space="preserve">), (c) with respect to each Series B Preferred Unit, an amount equal to (i) the Series B Preferred Stated Value, </w:t>
      </w:r>
      <w:r>
        <w:rPr>
          <w:rFonts w:ascii="Times New Roman" w:hAnsi="Times New Roman"/>
          <w:i/>
          <w:color w:val="000000"/>
          <w:sz w:val="24"/>
          <w:u w:val="single"/>
        </w:rPr>
        <w:t>plus</w:t>
      </w:r>
      <w:r>
        <w:rPr>
          <w:rFonts w:ascii="Times New Roman" w:hAnsi="Times New Roman"/>
          <w:color w:val="000000"/>
          <w:sz w:val="24"/>
        </w:rPr>
        <w:t xml:space="preserve"> (ii) any accrued but unpaid distributions on such Series B Preferred Unit (including any Series B/B1 Accruing Distributions that are added to the Liquidation Preference of such Series B Preferred Unit pursuant to </w:t>
      </w:r>
      <w:r>
        <w:rPr>
          <w:rFonts w:ascii="Times New Roman" w:hAnsi="Times New Roman"/>
          <w:color w:val="000000"/>
          <w:sz w:val="24"/>
          <w:u w:val="single"/>
        </w:rPr>
        <w:t>Section 5.01(e)</w:t>
      </w:r>
      <w:r>
        <w:rPr>
          <w:rFonts w:ascii="Times New Roman" w:hAnsi="Times New Roman"/>
          <w:color w:val="000000"/>
          <w:sz w:val="24"/>
        </w:rPr>
        <w:t xml:space="preserve">), and (d) with respect to each Series B1 Preferred Unit, an amount equal to (i) the Series B1 Preferred Stated Value, </w:t>
      </w:r>
      <w:r>
        <w:rPr>
          <w:rFonts w:ascii="Times New Roman" w:hAnsi="Times New Roman"/>
          <w:i/>
          <w:color w:val="000000"/>
          <w:sz w:val="24"/>
          <w:u w:val="single"/>
        </w:rPr>
        <w:t>plus</w:t>
      </w:r>
      <w:r>
        <w:rPr>
          <w:rFonts w:ascii="Times New Roman" w:hAnsi="Times New Roman"/>
          <w:color w:val="000000"/>
          <w:sz w:val="24"/>
        </w:rPr>
        <w:t xml:space="preserve"> (ii) any accrued but unpaid distributions on such Series B1 Preferred Unit (including any Series B/B1 Accruing Distributions that are added to the Liquidation Preference of such Series B1 Preferred Unit pursuant to </w:t>
      </w:r>
      <w:r>
        <w:rPr>
          <w:rFonts w:ascii="Times New Roman" w:hAnsi="Times New Roman"/>
          <w:color w:val="000000"/>
          <w:sz w:val="24"/>
          <w:u w:val="single"/>
        </w:rPr>
        <w:t>Section 5.01(e)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Liquidator</w:t>
      </w:r>
      <w:r>
        <w:rPr>
          <w:rFonts w:ascii="Times New Roman" w:hAnsi="Times New Roman"/>
          <w:color w:val="000000"/>
          <w:sz w:val="24"/>
        </w:rPr>
        <w:t xml:space="preserve">” has the meaning set forth in </w:t>
      </w:r>
      <w:r>
        <w:rPr>
          <w:rFonts w:ascii="Times New Roman" w:hAnsi="Times New Roman"/>
          <w:color w:val="000000"/>
          <w:sz w:val="24"/>
          <w:u w:val="single"/>
        </w:rPr>
        <w:t>Section 9.03(b)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Loan and Security Agreement</w:t>
      </w:r>
      <w:r>
        <w:rPr>
          <w:rFonts w:ascii="Times New Roman" w:hAnsi="Times New Roman"/>
          <w:color w:val="000000"/>
          <w:sz w:val="24"/>
        </w:rPr>
        <w:t>” means that certain Loan and Security Agreement, dated as of January 16, 2026, by and between the Company and UACC.</w:t>
      </w:r>
    </w:p>
    <w:p>
      <w:pPr>
        <w:pStyle w:val="TextBody"/>
        <w:bidi w:val="0"/>
        <w:spacing w:before="0" w:after="240"/>
        <w:jc w:val="both"/>
        <w:rPr/>
      </w:pPr>
      <w:r>
        <w:rPr>
          <w:color w:val="000000"/>
        </w:rPr>
        <w:t>“</w:t>
      </w:r>
      <w:r>
        <w:rPr>
          <w:rFonts w:ascii="Times New Roman" w:hAnsi="Times New Roman"/>
          <w:b/>
          <w:color w:val="000000"/>
          <w:sz w:val="24"/>
          <w:u w:val="single"/>
        </w:rPr>
        <w:t>Loan and Security Agreement Event of Default</w:t>
      </w:r>
      <w:r>
        <w:rPr>
          <w:rFonts w:ascii="Times New Roman" w:hAnsi="Times New Roman"/>
          <w:color w:val="000000"/>
          <w:sz w:val="24"/>
        </w:rPr>
        <w:t xml:space="preserve">” has the meaning given to the term “Event of Default” in the Loan and Security Agreement. </w:t>
      </w:r>
    </w:p>
    <w:p>
      <w:pPr>
        <w:pStyle w:val="TextBody"/>
        <w:bidi w:val="0"/>
        <w:spacing w:before="0" w:after="240"/>
        <w:jc w:val="both"/>
        <w:rPr/>
      </w:pPr>
      <w:r>
        <w:rPr>
          <w:color w:val="000000"/>
        </w:rPr>
        <w:t>“</w:t>
      </w:r>
      <w:r>
        <w:rPr>
          <w:rFonts w:ascii="Times New Roman" w:hAnsi="Times New Roman"/>
          <w:b/>
          <w:color w:val="000000"/>
          <w:sz w:val="24"/>
          <w:u w:val="single"/>
        </w:rPr>
        <w:t>Majority in Interest</w:t>
      </w:r>
      <w:r>
        <w:rPr>
          <w:rFonts w:ascii="Times New Roman" w:hAnsi="Times New Roman"/>
          <w:color w:val="000000"/>
          <w:sz w:val="24"/>
        </w:rPr>
        <w:t xml:space="preserve">” means, subject to </w:t>
      </w:r>
      <w:r>
        <w:rPr>
          <w:rFonts w:ascii="Times New Roman" w:hAnsi="Times New Roman"/>
          <w:color w:val="000000"/>
          <w:sz w:val="24"/>
          <w:u w:val="single"/>
        </w:rPr>
        <w:t>Section 3.09(b)</w:t>
      </w:r>
      <w:r>
        <w:rPr>
          <w:rFonts w:ascii="Times New Roman" w:hAnsi="Times New Roman"/>
          <w:color w:val="000000"/>
          <w:sz w:val="24"/>
        </w:rPr>
        <w:t>, as of the time of determination, the affirmative vote or consent of the Members who hold a majority of the issued and outstanding Common Units, treating for this purpose all such equity Securities (including the Series B/B1 Preferred Units) as if they had been converted to Common Units pursuant to the terms of this Agreement as of such time.</w:t>
      </w:r>
    </w:p>
    <w:p>
      <w:pPr>
        <w:pStyle w:val="TextBody"/>
        <w:bidi w:val="0"/>
        <w:spacing w:before="0" w:after="240"/>
        <w:jc w:val="both"/>
        <w:rPr/>
      </w:pPr>
      <w:r>
        <w:rPr>
          <w:color w:val="000000"/>
        </w:rPr>
        <w:t>“</w:t>
      </w:r>
      <w:r>
        <w:rPr>
          <w:rFonts w:ascii="Times New Roman" w:hAnsi="Times New Roman"/>
          <w:b/>
          <w:color w:val="000000"/>
          <w:sz w:val="24"/>
          <w:u w:val="single"/>
        </w:rPr>
        <w:t>Manager</w:t>
      </w:r>
      <w:r>
        <w:rPr>
          <w:rFonts w:ascii="Times New Roman" w:hAnsi="Times New Roman"/>
          <w:color w:val="000000"/>
          <w:sz w:val="24"/>
        </w:rPr>
        <w:t xml:space="preserve">” has the meaning set forth in </w:t>
      </w:r>
      <w:r>
        <w:rPr>
          <w:rFonts w:ascii="Times New Roman" w:hAnsi="Times New Roman"/>
          <w:color w:val="000000"/>
          <w:sz w:val="24"/>
          <w:u w:val="single"/>
        </w:rPr>
        <w:t>Section 4.01(a)(i)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Mandatory Conversion Time</w:t>
      </w:r>
      <w:r>
        <w:rPr>
          <w:rFonts w:ascii="Times New Roman" w:hAnsi="Times New Roman"/>
          <w:color w:val="000000"/>
          <w:sz w:val="24"/>
        </w:rPr>
        <w:t xml:space="preserve">” has the meaning set forth in </w:t>
      </w:r>
      <w:r>
        <w:rPr>
          <w:rFonts w:ascii="Times New Roman" w:hAnsi="Times New Roman"/>
          <w:color w:val="000000"/>
          <w:sz w:val="24"/>
          <w:u w:val="single"/>
        </w:rPr>
        <w:t>Section 8.06(b)(ii)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Material Group Member</w:t>
      </w:r>
      <w:r>
        <w:rPr>
          <w:rFonts w:ascii="Times New Roman" w:hAnsi="Times New Roman"/>
          <w:color w:val="000000"/>
          <w:sz w:val="24"/>
        </w:rPr>
        <w:t>” has the meaning set forth in the definition of Event of Default.</w:t>
      </w:r>
    </w:p>
    <w:p>
      <w:pPr>
        <w:pStyle w:val="TextBody"/>
        <w:bidi w:val="0"/>
        <w:spacing w:before="0" w:after="240"/>
        <w:jc w:val="both"/>
        <w:rPr/>
      </w:pPr>
      <w:r>
        <w:rPr>
          <w:color w:val="000000"/>
        </w:rPr>
        <w:t>“</w:t>
      </w:r>
      <w:r>
        <w:rPr>
          <w:rFonts w:ascii="Times New Roman" w:hAnsi="Times New Roman"/>
          <w:b/>
          <w:color w:val="000000"/>
          <w:sz w:val="24"/>
          <w:u w:val="single"/>
        </w:rPr>
        <w:t>Members</w:t>
      </w:r>
      <w:r>
        <w:rPr>
          <w:rFonts w:ascii="Times New Roman" w:hAnsi="Times New Roman"/>
          <w:color w:val="000000"/>
          <w:sz w:val="24"/>
        </w:rPr>
        <w:t>” means, collectively, the Series A Preferred Members, the Series A1 Preferred Members, the Series B Preferred Members, the Series B1 Preferred Members and the Common Members, and any Person admitted as an Additional Member or Substituted Member pursuant to this Agreement.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Non-Exclusive CarStory IP</w:t>
      </w:r>
      <w:r>
        <w:rPr>
          <w:rFonts w:ascii="Times New Roman" w:hAnsi="Times New Roman"/>
          <w:color w:val="000000"/>
          <w:sz w:val="24"/>
        </w:rPr>
        <w:t>” means the intellectual property rights licensed to the Company pursuant to the CarStory License Agreement.</w:t>
      </w:r>
    </w:p>
    <w:p>
      <w:pPr>
        <w:pStyle w:val="TextBody"/>
        <w:bidi w:val="0"/>
        <w:spacing w:before="0" w:after="240"/>
        <w:jc w:val="both"/>
        <w:rPr/>
      </w:pPr>
      <w:r>
        <w:rPr>
          <w:color w:val="000000"/>
        </w:rPr>
        <w:t>“</w:t>
      </w:r>
      <w:r>
        <w:rPr>
          <w:rFonts w:ascii="Times New Roman" w:hAnsi="Times New Roman"/>
          <w:b/>
          <w:color w:val="000000"/>
          <w:sz w:val="24"/>
          <w:u w:val="single"/>
        </w:rPr>
        <w:t>OFAC</w:t>
      </w:r>
      <w:r>
        <w:rPr>
          <w:rFonts w:ascii="Times New Roman" w:hAnsi="Times New Roman"/>
          <w:color w:val="000000"/>
          <w:sz w:val="24"/>
        </w:rPr>
        <w:t xml:space="preserve">” has the meaning set forth in </w:t>
      </w:r>
      <w:r>
        <w:rPr>
          <w:rFonts w:ascii="Times New Roman" w:hAnsi="Times New Roman"/>
          <w:color w:val="000000"/>
          <w:sz w:val="24"/>
          <w:u w:val="single"/>
        </w:rPr>
        <w:t>Section 12.08(a)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Offer Price</w:t>
      </w:r>
      <w:r>
        <w:rPr>
          <w:rFonts w:ascii="Times New Roman" w:hAnsi="Times New Roman"/>
          <w:color w:val="000000"/>
          <w:sz w:val="24"/>
        </w:rPr>
        <w:t xml:space="preserve">” has the meaning set forth in </w:t>
      </w:r>
      <w:r>
        <w:rPr>
          <w:rFonts w:ascii="Times New Roman" w:hAnsi="Times New Roman"/>
          <w:color w:val="000000"/>
          <w:sz w:val="24"/>
          <w:u w:val="single"/>
        </w:rPr>
        <w:t>Section 3.04(b)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Optional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Participation Members</w:t>
      </w:r>
      <w:r>
        <w:rPr>
          <w:rFonts w:ascii="Times New Roman" w:hAnsi="Times New Roman"/>
          <w:color w:val="000000"/>
          <w:sz w:val="24"/>
        </w:rPr>
        <w:t xml:space="preserve">” has the meaning set forth in </w:t>
      </w:r>
      <w:r>
        <w:rPr>
          <w:rFonts w:ascii="Times New Roman" w:hAnsi="Times New Roman"/>
          <w:color w:val="000000"/>
          <w:sz w:val="24"/>
          <w:u w:val="single"/>
        </w:rPr>
        <w:t>Section 8.10(c)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Optional Conversion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3.08(a)(i)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Optional Conversion Time</w:t>
      </w:r>
      <w:r>
        <w:rPr>
          <w:rFonts w:ascii="Times New Roman" w:hAnsi="Times New Roman"/>
          <w:color w:val="000000"/>
          <w:sz w:val="24"/>
        </w:rPr>
        <w:t xml:space="preserve">” has the meaning set forth in </w:t>
      </w:r>
      <w:r>
        <w:rPr>
          <w:rFonts w:ascii="Times New Roman" w:hAnsi="Times New Roman"/>
          <w:color w:val="000000"/>
          <w:sz w:val="24"/>
          <w:u w:val="single"/>
        </w:rPr>
        <w:t>Section 3.08(a)(ii)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Optional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Optional Redemption Date</w:t>
      </w:r>
      <w:r>
        <w:rPr>
          <w:rFonts w:ascii="Times New Roman" w:hAnsi="Times New Roman"/>
          <w:color w:val="000000"/>
          <w:sz w:val="24"/>
        </w:rPr>
        <w:t>” means the third (3rd) anniversary of the Reference Date.</w:t>
      </w:r>
    </w:p>
    <w:p>
      <w:pPr>
        <w:pStyle w:val="TextBody"/>
        <w:bidi w:val="0"/>
        <w:spacing w:before="0" w:after="240"/>
        <w:jc w:val="both"/>
        <w:rPr/>
      </w:pPr>
      <w:r>
        <w:rPr>
          <w:color w:val="000000"/>
        </w:rPr>
        <w:t>“</w:t>
      </w:r>
      <w:r>
        <w:rPr>
          <w:rFonts w:ascii="Times New Roman" w:hAnsi="Times New Roman"/>
          <w:b/>
          <w:color w:val="000000"/>
          <w:sz w:val="24"/>
          <w:u w:val="single"/>
        </w:rPr>
        <w:t>Optional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Permitted Asset Base</w:t>
      </w:r>
      <w:r>
        <w:rPr>
          <w:rFonts w:ascii="Times New Roman" w:hAnsi="Times New Roman"/>
          <w:color w:val="000000"/>
          <w:sz w:val="24"/>
        </w:rPr>
        <w:t xml:space="preserve">” means the sum of (a) the Residual Asset Base, </w:t>
      </w:r>
      <w:r>
        <w:rPr>
          <w:rFonts w:ascii="Times New Roman" w:hAnsi="Times New Roman"/>
          <w:i/>
          <w:color w:val="000000"/>
          <w:sz w:val="24"/>
          <w:u w:val="single"/>
        </w:rPr>
        <w:t>plus</w:t>
      </w:r>
      <w:r>
        <w:rPr>
          <w:rFonts w:ascii="Times New Roman" w:hAnsi="Times New Roman"/>
          <w:color w:val="000000"/>
          <w:sz w:val="24"/>
        </w:rPr>
        <w:t xml:space="preserve"> (b) the lesser of (i) Excess Cash and (ii) [***].</w:t>
      </w:r>
    </w:p>
    <w:p>
      <w:pPr>
        <w:pStyle w:val="TextBody"/>
        <w:bidi w:val="0"/>
        <w:spacing w:before="0" w:after="240"/>
        <w:jc w:val="both"/>
        <w:rPr/>
      </w:pPr>
      <w:r>
        <w:rPr>
          <w:color w:val="000000"/>
        </w:rPr>
        <w:t>“</w:t>
      </w:r>
      <w:r>
        <w:rPr>
          <w:rFonts w:ascii="Times New Roman" w:hAnsi="Times New Roman"/>
          <w:b/>
          <w:color w:val="000000"/>
          <w:sz w:val="24"/>
          <w:u w:val="single"/>
        </w:rPr>
        <w:t>Permitted Asset Contribution</w:t>
      </w:r>
      <w:r>
        <w:rPr>
          <w:rFonts w:ascii="Times New Roman" w:hAnsi="Times New Roman"/>
          <w:color w:val="000000"/>
          <w:sz w:val="24"/>
        </w:rPr>
        <w:t>” means [***]</w:t>
      </w:r>
    </w:p>
    <w:p>
      <w:pPr>
        <w:pStyle w:val="TextBody"/>
        <w:bidi w:val="0"/>
        <w:spacing w:before="0" w:after="240"/>
        <w:jc w:val="both"/>
        <w:rPr/>
      </w:pPr>
      <w:r>
        <w:rPr>
          <w:color w:val="000000"/>
        </w:rPr>
        <w:t>“</w:t>
      </w:r>
      <w:r>
        <w:rPr>
          <w:rFonts w:ascii="Times New Roman" w:hAnsi="Times New Roman"/>
          <w:b/>
          <w:color w:val="000000"/>
          <w:sz w:val="24"/>
          <w:u w:val="single"/>
        </w:rPr>
        <w:t>Person</w:t>
      </w:r>
      <w:r>
        <w:rPr>
          <w:rFonts w:ascii="Times New Roman" w:hAnsi="Times New Roman"/>
          <w:color w:val="000000"/>
          <w:sz w:val="24"/>
        </w:rPr>
        <w:t xml:space="preserve">” means any individual or Entity and, where the context so permits, the legal representatives, successors in interest and permitted assigns of such Person. </w:t>
      </w:r>
    </w:p>
    <w:p>
      <w:pPr>
        <w:pStyle w:val="TextBody"/>
        <w:bidi w:val="0"/>
        <w:spacing w:before="0" w:after="240"/>
        <w:jc w:val="both"/>
        <w:rPr/>
      </w:pPr>
      <w:r>
        <w:rPr>
          <w:color w:val="000000"/>
        </w:rPr>
        <w:t>“</w:t>
      </w:r>
      <w:r>
        <w:rPr>
          <w:rFonts w:ascii="Times New Roman" w:hAnsi="Times New Roman"/>
          <w:b/>
          <w:color w:val="000000"/>
          <w:sz w:val="24"/>
          <w:u w:val="single"/>
        </w:rPr>
        <w:t>Preferred Accruing Distributions</w:t>
      </w:r>
      <w:r>
        <w:rPr>
          <w:rFonts w:ascii="Times New Roman" w:hAnsi="Times New Roman"/>
          <w:color w:val="000000"/>
          <w:sz w:val="24"/>
        </w:rPr>
        <w:t>” means the Series A/A1 Accruing Distributions and the Series B/B1 Accruing Distributions.</w:t>
      </w:r>
    </w:p>
    <w:p>
      <w:pPr>
        <w:pStyle w:val="TextBody"/>
        <w:bidi w:val="0"/>
        <w:spacing w:before="0" w:after="240"/>
        <w:jc w:val="both"/>
        <w:rPr/>
      </w:pPr>
      <w:r>
        <w:rPr>
          <w:color w:val="000000"/>
        </w:rPr>
        <w:t>“</w:t>
      </w:r>
      <w:r>
        <w:rPr>
          <w:rFonts w:ascii="Times New Roman" w:hAnsi="Times New Roman"/>
          <w:b/>
          <w:color w:val="000000"/>
          <w:sz w:val="24"/>
          <w:u w:val="single"/>
        </w:rPr>
        <w:t>Preferred Members</w:t>
      </w:r>
      <w:r>
        <w:rPr>
          <w:rFonts w:ascii="Times New Roman" w:hAnsi="Times New Roman"/>
          <w:color w:val="000000"/>
          <w:sz w:val="24"/>
        </w:rPr>
        <w:t>” means any Member holding Preferred Units from time to time, including the Series A Preferred Members, the Series A1 Preferred Members, the Series B Preferred Members and the Series B1 Preferred Members.</w:t>
      </w:r>
    </w:p>
    <w:p>
      <w:pPr>
        <w:pStyle w:val="TextBody"/>
        <w:bidi w:val="0"/>
        <w:spacing w:before="0" w:after="240"/>
        <w:jc w:val="both"/>
        <w:rPr/>
      </w:pPr>
      <w:r>
        <w:rPr>
          <w:color w:val="000000"/>
        </w:rPr>
        <w:t>“</w:t>
      </w:r>
      <w:r>
        <w:rPr>
          <w:rFonts w:ascii="Times New Roman" w:hAnsi="Times New Roman"/>
          <w:b/>
          <w:color w:val="000000"/>
          <w:sz w:val="24"/>
          <w:u w:val="single"/>
        </w:rPr>
        <w:t>Preferred Units</w:t>
      </w:r>
      <w:r>
        <w:rPr>
          <w:rFonts w:ascii="Times New Roman" w:hAnsi="Times New Roman"/>
          <w:color w:val="000000"/>
          <w:sz w:val="24"/>
        </w:rPr>
        <w:t>” means any Units of the Company designated by the Board of Managers as “Preferred Units”, having such rights, preferences and privileges as the Board of Managers may determine and as set forth in this Agreement, including, for the avoidance of doubt, the Series A Preferred Units, the Series A1 Preferred Units, the Series B Preferred Units and the Series B1 Preferred Units.</w:t>
      </w:r>
    </w:p>
    <w:p>
      <w:pPr>
        <w:pStyle w:val="TextBody"/>
        <w:bidi w:val="0"/>
        <w:spacing w:before="0" w:after="240"/>
        <w:jc w:val="both"/>
        <w:rPr/>
      </w:pPr>
      <w:r>
        <w:rPr>
          <w:color w:val="000000"/>
        </w:rPr>
        <w:t>“</w:t>
      </w:r>
      <w:r>
        <w:rPr>
          <w:rFonts w:ascii="Times New Roman" w:hAnsi="Times New Roman"/>
          <w:b/>
          <w:color w:val="000000"/>
          <w:sz w:val="24"/>
          <w:u w:val="single"/>
        </w:rPr>
        <w:t>Prohibited Person</w:t>
      </w:r>
      <w:r>
        <w:rPr>
          <w:rFonts w:ascii="Times New Roman" w:hAnsi="Times New Roman"/>
          <w:color w:val="000000"/>
          <w:sz w:val="24"/>
        </w:rPr>
        <w:t xml:space="preserve">” has the meaning set forth in </w:t>
      </w:r>
      <w:r>
        <w:rPr>
          <w:rFonts w:ascii="Times New Roman" w:hAnsi="Times New Roman"/>
          <w:color w:val="000000"/>
          <w:sz w:val="24"/>
          <w:u w:val="single"/>
        </w:rPr>
        <w:t>Section 12.08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Prime Rate</w:t>
      </w:r>
      <w:r>
        <w:rPr>
          <w:rFonts w:ascii="Times New Roman" w:hAnsi="Times New Roman"/>
          <w:color w:val="000000"/>
          <w:sz w:val="24"/>
        </w:rPr>
        <w:t xml:space="preserve">” means, for each day, the rate of interest published in the Wall Street Journal (Eastern Edition) under the designation “Money Rate” or “Base Rate on Corporate Loans at Large U.S. Money Center Commercial Banks.” If the rate is shown as a range of rates, the Prime Rate will be the mid-point of such range. If such rate is no longer published or available, the Prime Rate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will be a comparable substitute rate based upon a national index selected by the Board of Managers.</w:t>
      </w:r>
    </w:p>
    <w:p>
      <w:pPr>
        <w:pStyle w:val="TextBody"/>
        <w:bidi w:val="0"/>
        <w:spacing w:before="0" w:after="240"/>
        <w:jc w:val="both"/>
        <w:rPr/>
      </w:pPr>
      <w:r>
        <w:rPr>
          <w:color w:val="090909"/>
        </w:rPr>
        <w:t>“</w:t>
      </w:r>
      <w:r>
        <w:rPr>
          <w:rFonts w:ascii="Times New Roman" w:hAnsi="Times New Roman"/>
          <w:b/>
          <w:color w:val="090909"/>
          <w:sz w:val="24"/>
          <w:u w:val="single"/>
        </w:rPr>
        <w:t>Purchase Agreement</w:t>
      </w:r>
      <w:r>
        <w:rPr>
          <w:rFonts w:ascii="Times New Roman" w:hAnsi="Times New Roman"/>
          <w:color w:val="090909"/>
          <w:sz w:val="24"/>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4"/>
          <w:u w:val="single"/>
        </w:rPr>
        <w:t>Quarterly Distribution Date</w:t>
      </w:r>
      <w:r>
        <w:rPr>
          <w:rFonts w:ascii="Times New Roman" w:hAnsi="Times New Roman"/>
          <w:color w:val="000000"/>
          <w:sz w:val="24"/>
        </w:rPr>
        <w:t xml:space="preserve">” has the meaning set forth in </w:t>
      </w:r>
      <w:r>
        <w:rPr>
          <w:rFonts w:ascii="Times New Roman" w:hAnsi="Times New Roman"/>
          <w:color w:val="000000"/>
          <w:sz w:val="24"/>
          <w:u w:val="single"/>
        </w:rPr>
        <w:t>Section 5.01(d)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Redemption Closing Date</w:t>
      </w:r>
      <w:r>
        <w:rPr>
          <w:rFonts w:ascii="Times New Roman" w:hAnsi="Times New Roman"/>
          <w:color w:val="000000"/>
          <w:sz w:val="24"/>
        </w:rPr>
        <w:t xml:space="preserve">” means the Series A Mandatory Redemption Closing Date, the Series A1 Mandatory Redemption Closing Date, the Series B Mandatory Redemption Closing Date, the Series B1 Mandatory Redemption Closing Date, the CoC Redemption Closing Date, the 382 Redemption Closing Date and/or the Optional Redemption Closing Date (as applicable). </w:t>
      </w:r>
    </w:p>
    <w:p>
      <w:pPr>
        <w:pStyle w:val="TextBody"/>
        <w:bidi w:val="0"/>
        <w:spacing w:before="0" w:after="240"/>
        <w:jc w:val="both"/>
        <w:rPr/>
      </w:pPr>
      <w:r>
        <w:rPr>
          <w:color w:val="000000"/>
        </w:rPr>
        <w:t>“</w:t>
      </w:r>
      <w:r>
        <w:rPr>
          <w:rFonts w:ascii="Times New Roman" w:hAnsi="Times New Roman"/>
          <w:b/>
          <w:color w:val="000000"/>
          <w:sz w:val="24"/>
          <w:u w:val="single"/>
        </w:rPr>
        <w:t>Redemption Notice</w:t>
      </w:r>
      <w:r>
        <w:rPr>
          <w:rFonts w:ascii="Times New Roman" w:hAnsi="Times New Roman"/>
          <w:color w:val="000000"/>
          <w:sz w:val="24"/>
        </w:rPr>
        <w:t xml:space="preserve">” means the Series A Mandatory Redemption Notice, the Series A1 Mandatory Redemption Notice, the Series B Mandatory Redemption Notice, the Series B1 Mandatory Redemption Notice, the CoC Redemption Notice, 382 Redemption Notice and/or the Optional Redemption Notice (as applicable). </w:t>
      </w:r>
    </w:p>
    <w:p>
      <w:pPr>
        <w:pStyle w:val="TextBody"/>
        <w:bidi w:val="0"/>
        <w:spacing w:before="0" w:after="240"/>
        <w:jc w:val="both"/>
        <w:rPr/>
      </w:pPr>
      <w:r>
        <w:rPr>
          <w:color w:val="000000"/>
        </w:rPr>
        <w:t>“</w:t>
      </w:r>
      <w:r>
        <w:rPr>
          <w:rFonts w:ascii="Times New Roman" w:hAnsi="Times New Roman"/>
          <w:b/>
          <w:color w:val="000000"/>
          <w:sz w:val="24"/>
          <w:u w:val="single"/>
        </w:rPr>
        <w:t>Redemption Premium Percentage</w:t>
      </w:r>
      <w:r>
        <w:rPr>
          <w:rFonts w:ascii="Times New Roman" w:hAnsi="Times New Roman"/>
          <w:color w:val="000000"/>
          <w:sz w:val="24"/>
        </w:rPr>
        <w:t>” means: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with respect to any Optional Redemption or 382 Redemption consummated on or prior to the first anniversary of the Reference Date, 103%;</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 xml:space="preserve">with respect to any Optional Redemption or 382 Redemption consummated after the first anniversary of the Reference Date but on or prior to the second anniversary of the Reference Date, 102%; and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with respect to any Optional Redemption or 382 Redemption consummated after the second anniversary of the Reference Date but on or prior to the third anniversary of the Reference Date, 101%.</w:t>
      </w:r>
    </w:p>
    <w:p>
      <w:pPr>
        <w:pStyle w:val="TextBody"/>
        <w:bidi w:val="0"/>
        <w:spacing w:before="0" w:after="240"/>
        <w:jc w:val="both"/>
        <w:rPr/>
      </w:pPr>
      <w:r>
        <w:rPr>
          <w:color w:val="000000"/>
        </w:rPr>
        <w:t>“</w:t>
      </w:r>
      <w:r>
        <w:rPr>
          <w:rFonts w:ascii="Times New Roman" w:hAnsi="Times New Roman"/>
          <w:b/>
          <w:color w:val="000000"/>
          <w:sz w:val="24"/>
          <w:u w:val="single"/>
        </w:rPr>
        <w:t>Redemption Transaction</w:t>
      </w:r>
      <w:r>
        <w:rPr>
          <w:rFonts w:ascii="Times New Roman" w:hAnsi="Times New Roman"/>
          <w:color w:val="000000"/>
          <w:sz w:val="24"/>
        </w:rPr>
        <w:t>” means the Series A Mandatory Redemption, the Series A1 Mandatory Redemption, the Series B Mandatory Redemption, the Series B1 Mandatory Redemption, the CoC Redemption, the 382 Redemption and/or the Optional Redemption, as applicable.</w:t>
      </w:r>
    </w:p>
    <w:p>
      <w:pPr>
        <w:pStyle w:val="TextBody"/>
        <w:bidi w:val="0"/>
        <w:spacing w:before="0" w:after="240"/>
        <w:jc w:val="both"/>
        <w:rPr/>
      </w:pPr>
      <w:r>
        <w:rPr>
          <w:color w:val="000000"/>
        </w:rPr>
        <w:t>“</w:t>
      </w:r>
      <w:r>
        <w:rPr>
          <w:rFonts w:ascii="Times New Roman" w:hAnsi="Times New Roman"/>
          <w:b/>
          <w:color w:val="000000"/>
          <w:sz w:val="24"/>
          <w:u w:val="single"/>
        </w:rPr>
        <w:t>Reference Date</w:t>
      </w:r>
      <w:r>
        <w:rPr>
          <w:rFonts w:ascii="Times New Roman" w:hAnsi="Times New Roman"/>
          <w:color w:val="000000"/>
          <w:sz w:val="24"/>
        </w:rPr>
        <w:t>” means January 16, 2026.</w:t>
      </w:r>
    </w:p>
    <w:p>
      <w:pPr>
        <w:pStyle w:val="TextBody"/>
        <w:bidi w:val="0"/>
        <w:spacing w:before="0" w:after="240"/>
        <w:jc w:val="both"/>
        <w:rPr/>
      </w:pPr>
      <w:r>
        <w:rPr>
          <w:color w:val="000000"/>
        </w:rPr>
        <w:t>“</w:t>
      </w:r>
      <w:r>
        <w:rPr>
          <w:rFonts w:ascii="Times New Roman" w:hAnsi="Times New Roman"/>
          <w:b/>
          <w:color w:val="000000"/>
          <w:sz w:val="24"/>
          <w:u w:val="single"/>
        </w:rPr>
        <w:t>Regulations</w:t>
      </w:r>
      <w:r>
        <w:rPr>
          <w:rFonts w:ascii="Times New Roman" w:hAnsi="Times New Roman"/>
          <w:color w:val="000000"/>
          <w:sz w:val="24"/>
        </w:rPr>
        <w:t>” means the Treasury Regulations promulgated under the Code.</w:t>
      </w:r>
    </w:p>
    <w:p>
      <w:pPr>
        <w:pStyle w:val="TextBody"/>
        <w:bidi w:val="0"/>
        <w:jc w:val="left"/>
        <w:rPr/>
      </w:pPr>
      <w:r>
        <w:rPr>
          <w:color w:val="000000"/>
        </w:rPr>
        <w:t>“</w:t>
      </w:r>
      <w:r>
        <w:rPr>
          <w:rFonts w:ascii="Times New Roman" w:hAnsi="Times New Roman"/>
          <w:b/>
          <w:color w:val="000000"/>
          <w:sz w:val="24"/>
          <w:u w:val="single"/>
        </w:rPr>
        <w:t>Relevant Agreements and Documents</w:t>
      </w:r>
      <w:r>
        <w:rPr>
          <w:rFonts w:ascii="Times New Roman" w:hAnsi="Times New Roman"/>
          <w:color w:val="000000"/>
          <w:sz w:val="24"/>
        </w:rPr>
        <w:t xml:space="preserve">” has the meaning set forth in </w:t>
      </w:r>
      <w:r>
        <w:rPr>
          <w:rFonts w:ascii="Times New Roman" w:hAnsi="Times New Roman"/>
          <w:color w:val="000000"/>
          <w:sz w:val="24"/>
          <w:u w:val="single"/>
        </w:rPr>
        <w:t>Section 13.08</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u w:val="single"/>
        </w:rPr>
        <w:t>Reserves</w:t>
      </w:r>
      <w:r>
        <w:rPr>
          <w:rFonts w:ascii="Times New Roman" w:hAnsi="Times New Roman"/>
          <w:color w:val="000000"/>
          <w:sz w:val="24"/>
        </w:rPr>
        <w:t>” means the amount of cash that the Board of Managers, acting in good faith, deems necessary to reserve for the payment of all Company Expenses (and all other costs, liabilities, obligations or expenses incident to the ownership or operation of the Company Business), including the payment of all Preferred Accruing Distributions for the next two consecutive quarters.</w:t>
      </w:r>
    </w:p>
    <w:p>
      <w:pPr>
        <w:pStyle w:val="TextBody"/>
        <w:bidi w:val="0"/>
        <w:spacing w:before="0" w:after="240"/>
        <w:jc w:val="both"/>
        <w:rPr/>
      </w:pPr>
      <w:r>
        <w:rPr>
          <w:color w:val="000000"/>
        </w:rPr>
        <w:t>“</w:t>
      </w:r>
      <w:r>
        <w:rPr>
          <w:rFonts w:ascii="Times New Roman" w:hAnsi="Times New Roman"/>
          <w:b/>
          <w:color w:val="000000"/>
          <w:sz w:val="24"/>
          <w:u w:val="single"/>
        </w:rPr>
        <w:t>Residual Asset Base</w:t>
      </w:r>
      <w:r>
        <w:rPr>
          <w:rFonts w:ascii="Times New Roman" w:hAnsi="Times New Roman"/>
          <w:color w:val="000000"/>
          <w:sz w:val="24"/>
        </w:rPr>
        <w:t>” means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Residual Interest</w:t>
      </w:r>
      <w:r>
        <w:rPr>
          <w:rFonts w:ascii="Times New Roman" w:hAnsi="Times New Roman"/>
          <w:color w:val="000000"/>
          <w:sz w:val="24"/>
        </w:rPr>
        <w:t>” means the most subordinate tranche of securities (or similar interests) issued in connection with a securitization transaction.</w:t>
      </w:r>
    </w:p>
    <w:p>
      <w:pPr>
        <w:pStyle w:val="TextBody"/>
        <w:bidi w:val="0"/>
        <w:jc w:val="both"/>
        <w:rPr/>
      </w:pPr>
      <w:r>
        <w:rPr>
          <w:color w:val="000000"/>
        </w:rPr>
        <w:t>“</w:t>
      </w:r>
      <w:r>
        <w:rPr>
          <w:rFonts w:ascii="Times New Roman" w:hAnsi="Times New Roman"/>
          <w:b/>
          <w:color w:val="000000"/>
          <w:sz w:val="24"/>
          <w:u w:val="single"/>
        </w:rPr>
        <w:t>Residual Interest Purchase Agreement</w:t>
      </w:r>
      <w:r>
        <w:rPr>
          <w:rFonts w:ascii="Times New Roman" w:hAnsi="Times New Roman"/>
          <w:color w:val="000000"/>
          <w:sz w:val="24"/>
        </w:rPr>
        <w:t xml:space="preserve">” means that certain Residual Interest Purchase Agreement, to be entered into on or prior to the Effective Date, by and among the Company, UACC, United Auto Credit Financing and the other parties signatory thereto.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u w:val="single"/>
        </w:rPr>
        <w:t>ROFR Acceptance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3.04(c)</w:t>
      </w:r>
      <w:r>
        <w:rPr>
          <w:rFonts w:ascii="Times New Roman" w:hAnsi="Times New Roman"/>
          <w:color w:val="000000"/>
          <w:sz w:val="24"/>
        </w:rPr>
        <w: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u w:val="single"/>
        </w:rPr>
        <w:t>ROFR Notice Period</w:t>
      </w:r>
      <w:r>
        <w:rPr>
          <w:rFonts w:ascii="Times New Roman" w:hAnsi="Times New Roman"/>
          <w:color w:val="000000"/>
          <w:sz w:val="24"/>
        </w:rPr>
        <w:t xml:space="preserve">” has the meaning set forth in </w:t>
      </w:r>
      <w:r>
        <w:rPr>
          <w:rFonts w:ascii="Times New Roman" w:hAnsi="Times New Roman"/>
          <w:color w:val="000000"/>
          <w:sz w:val="24"/>
          <w:u w:val="single"/>
        </w:rPr>
        <w:t>Section 3.04(b)</w:t>
      </w:r>
      <w:r>
        <w:rPr>
          <w:rFonts w:ascii="Times New Roman" w:hAnsi="Times New Roman"/>
          <w:color w:val="000000"/>
          <w:sz w:val="24"/>
        </w:rPr>
        <w: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4"/>
          <w:u w:val="single"/>
        </w:rPr>
        <w:t>ROFR Offer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3.04(b)</w:t>
      </w:r>
      <w:r>
        <w:rPr>
          <w:rFonts w:ascii="Times New Roman" w:hAnsi="Times New Roman"/>
          <w:color w:val="000000"/>
          <w:sz w:val="24"/>
        </w:rPr>
        <w:t>.</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u w:val="single"/>
        </w:rPr>
        <w:t>Second LLC Agreement</w:t>
      </w:r>
      <w:r>
        <w:rPr>
          <w:rFonts w:ascii="Times New Roman" w:hAnsi="Times New Roman"/>
          <w:color w:val="000000"/>
          <w:sz w:val="24"/>
        </w:rPr>
        <w:t>” has the meaning set forth in the Recitals.</w:t>
      </w:r>
    </w:p>
    <w:p>
      <w:pPr>
        <w:pStyle w:val="TextBody"/>
        <w:bidi w:val="0"/>
        <w:spacing w:before="0" w:after="240"/>
        <w:jc w:val="both"/>
        <w:rPr/>
      </w:pPr>
      <w:r>
        <w:rPr>
          <w:color w:val="000000"/>
        </w:rPr>
        <w:t>“</w:t>
      </w:r>
      <w:r>
        <w:rPr>
          <w:rFonts w:ascii="Times New Roman" w:hAnsi="Times New Roman"/>
          <w:b/>
          <w:color w:val="000000"/>
          <w:sz w:val="24"/>
          <w:u w:val="single"/>
        </w:rPr>
        <w:t>Securities</w:t>
      </w:r>
      <w:r>
        <w:rPr>
          <w:rFonts w:ascii="Times New Roman" w:hAnsi="Times New Roman"/>
          <w:color w:val="000000"/>
          <w:sz w:val="24"/>
        </w:rPr>
        <w:t>” means securities of every kind and nature, including stock, Units, interests, notes, bonds, evidences of Indebtedness, options to acquire any of the foregoing, securities or interests convertible into or exercisable for any of the foregoing, and other business interests of every type, including interests in any Entity.</w:t>
      </w:r>
    </w:p>
    <w:p>
      <w:pPr>
        <w:pStyle w:val="TextBody"/>
        <w:bidi w:val="0"/>
        <w:spacing w:before="0" w:after="240"/>
        <w:jc w:val="both"/>
        <w:rPr/>
      </w:pPr>
      <w:r>
        <w:rPr>
          <w:color w:val="000000"/>
        </w:rPr>
        <w:t>“</w:t>
      </w:r>
      <w:r>
        <w:rPr>
          <w:rFonts w:ascii="Times New Roman" w:hAnsi="Times New Roman"/>
          <w:b/>
          <w:color w:val="000000"/>
          <w:sz w:val="24"/>
          <w:u w:val="single"/>
        </w:rPr>
        <w:t>Securities Act</w:t>
      </w:r>
      <w:r>
        <w:rPr>
          <w:rFonts w:ascii="Times New Roman" w:hAnsi="Times New Roman"/>
          <w:color w:val="000000"/>
          <w:sz w:val="24"/>
        </w:rPr>
        <w:t>” means the Securities Act of 1933, as amended, and applicable rules and regulations thereunder.</w:t>
      </w:r>
    </w:p>
    <w:p>
      <w:pPr>
        <w:pStyle w:val="TextBody"/>
        <w:bidi w:val="0"/>
        <w:spacing w:before="0" w:after="240"/>
        <w:jc w:val="both"/>
        <w:rPr/>
      </w:pPr>
      <w:r>
        <w:rPr>
          <w:color w:val="000000"/>
        </w:rPr>
        <w:t>“</w:t>
      </w:r>
      <w:r>
        <w:rPr>
          <w:rFonts w:ascii="Times New Roman" w:hAnsi="Times New Roman"/>
          <w:b/>
          <w:color w:val="000000"/>
          <w:sz w:val="24"/>
          <w:u w:val="single"/>
        </w:rPr>
        <w:t>Securities Exchange Act</w:t>
      </w:r>
      <w:r>
        <w:rPr>
          <w:rFonts w:ascii="Times New Roman" w:hAnsi="Times New Roman"/>
          <w:color w:val="000000"/>
          <w:sz w:val="24"/>
        </w:rPr>
        <w:t>” means the Securities Exchange Act of 1934, as amended, and applicable rules and regulations thereunder.</w:t>
      </w:r>
    </w:p>
    <w:p>
      <w:pPr>
        <w:pStyle w:val="TextBody"/>
        <w:bidi w:val="0"/>
        <w:spacing w:before="0" w:after="240"/>
        <w:jc w:val="both"/>
        <w:rPr/>
      </w:pPr>
      <w:r>
        <w:rPr>
          <w:color w:val="000000"/>
        </w:rPr>
        <w:t>“</w:t>
      </w:r>
      <w:r>
        <w:rPr>
          <w:rFonts w:ascii="Times New Roman" w:hAnsi="Times New Roman"/>
          <w:b/>
          <w:color w:val="000000"/>
          <w:sz w:val="24"/>
          <w:u w:val="single"/>
        </w:rPr>
        <w:t>Series A Mandatory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 Mandatory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 Mandatory Redemption Date</w:t>
      </w:r>
      <w:r>
        <w:rPr>
          <w:rFonts w:ascii="Times New Roman" w:hAnsi="Times New Roman"/>
          <w:color w:val="000000"/>
          <w:sz w:val="24"/>
        </w:rPr>
        <w:t>” means March 16, 2027, and each anniversary thereafter.</w:t>
      </w:r>
    </w:p>
    <w:p>
      <w:pPr>
        <w:pStyle w:val="TextBody"/>
        <w:bidi w:val="0"/>
        <w:spacing w:before="0" w:after="240"/>
        <w:jc w:val="both"/>
        <w:rPr/>
      </w:pPr>
      <w:r>
        <w:rPr>
          <w:color w:val="000000"/>
        </w:rPr>
        <w:t>“</w:t>
      </w:r>
      <w:r>
        <w:rPr>
          <w:rFonts w:ascii="Times New Roman" w:hAnsi="Times New Roman"/>
          <w:b/>
          <w:color w:val="000000"/>
          <w:sz w:val="24"/>
          <w:u w:val="single"/>
        </w:rPr>
        <w:t>Series A Mandatory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8.01</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A Redemption Price</w:t>
      </w:r>
      <w:r>
        <w:rPr>
          <w:rFonts w:ascii="Times New Roman" w:hAnsi="Times New Roman"/>
          <w:color w:val="000000"/>
          <w:sz w:val="24"/>
        </w:rPr>
        <w:t xml:space="preserve">” has the meaning set forth in </w:t>
      </w:r>
      <w:r>
        <w:rPr>
          <w:rFonts w:ascii="Times New Roman" w:hAnsi="Times New Roman"/>
          <w:color w:val="000000"/>
          <w:sz w:val="24"/>
          <w:u w:val="single"/>
        </w:rPr>
        <w:t>Section 8.01</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A Preferred Interest</w:t>
      </w:r>
      <w:r>
        <w:rPr>
          <w:rFonts w:ascii="Times New Roman" w:hAnsi="Times New Roman"/>
          <w:color w:val="000000"/>
          <w:sz w:val="24"/>
        </w:rPr>
        <w:t>” means the limited liability company interest represented by the Series A Preferred Units owned by a Series A Preferred Member in the Company at any particular time, including the right of such Series A Preferred Member to any and all benefits to which such Series A Preferred Member may be entitled as provided in the Act, this Agreement, or otherwise, together with the obligations of such Series A Preferred Member to comply with all terms and provisions of this Agreement and the Act.</w:t>
      </w:r>
    </w:p>
    <w:p>
      <w:pPr>
        <w:pStyle w:val="TextBody"/>
        <w:bidi w:val="0"/>
        <w:spacing w:before="0" w:after="240"/>
        <w:jc w:val="both"/>
        <w:rPr/>
      </w:pPr>
      <w:r>
        <w:rPr>
          <w:color w:val="000000"/>
        </w:rPr>
        <w:t>“</w:t>
      </w:r>
      <w:r>
        <w:rPr>
          <w:rFonts w:ascii="Times New Roman" w:hAnsi="Times New Roman"/>
          <w:b/>
          <w:color w:val="000000"/>
          <w:sz w:val="24"/>
          <w:u w:val="single"/>
        </w:rPr>
        <w:t>Series A Preferred Member</w:t>
      </w:r>
      <w:r>
        <w:rPr>
          <w:rFonts w:ascii="Times New Roman" w:hAnsi="Times New Roman"/>
          <w:color w:val="000000"/>
          <w:sz w:val="24"/>
        </w:rPr>
        <w:t>” means any Member holding Series A Preferred Units from time to time.</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Series A Preferred Stated Value</w:t>
      </w:r>
      <w:r>
        <w:rPr>
          <w:rFonts w:ascii="Times New Roman" w:hAnsi="Times New Roman"/>
          <w:color w:val="000000"/>
          <w:sz w:val="24"/>
        </w:rPr>
        <w:t>” means $1,000 per Series A Preferred Unit (subject to appropriate adjustment in the event of any unit distribution, unit split, combination or other similar recapitalization with respect to the Series A Preferred Units).</w:t>
      </w:r>
    </w:p>
    <w:p>
      <w:pPr>
        <w:pStyle w:val="TextBody"/>
        <w:bidi w:val="0"/>
        <w:spacing w:before="0" w:after="240"/>
        <w:jc w:val="both"/>
        <w:rPr/>
      </w:pPr>
      <w:r>
        <w:rPr>
          <w:color w:val="000000"/>
        </w:rPr>
        <w:t>“</w:t>
      </w:r>
      <w:r>
        <w:rPr>
          <w:rFonts w:ascii="Times New Roman" w:hAnsi="Times New Roman"/>
          <w:b/>
          <w:color w:val="000000"/>
          <w:sz w:val="24"/>
          <w:u w:val="single"/>
        </w:rPr>
        <w:t>Series A Preferred Units</w:t>
      </w:r>
      <w:r>
        <w:rPr>
          <w:rFonts w:ascii="Times New Roman" w:hAnsi="Times New Roman"/>
          <w:color w:val="000000"/>
          <w:sz w:val="24"/>
        </w:rPr>
        <w:t xml:space="preserve">” has the meaning set forth in </w:t>
      </w:r>
      <w:r>
        <w:rPr>
          <w:rFonts w:ascii="Times New Roman" w:hAnsi="Times New Roman"/>
          <w:color w:val="000000"/>
          <w:sz w:val="24"/>
          <w:u w:val="single"/>
        </w:rPr>
        <w:t>Section 3.07(a)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A1 Mandatory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A1 Mandatory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A1 Mandatory Redemption Date</w:t>
      </w:r>
      <w:r>
        <w:rPr>
          <w:rFonts w:ascii="Times New Roman" w:hAnsi="Times New Roman"/>
          <w:color w:val="000000"/>
          <w:sz w:val="24"/>
        </w:rPr>
        <w:t>” means September 30, 2027, and each anniversary thereafter.</w:t>
      </w:r>
    </w:p>
    <w:p>
      <w:pPr>
        <w:pStyle w:val="TextBody"/>
        <w:bidi w:val="0"/>
        <w:spacing w:before="0" w:after="240"/>
        <w:jc w:val="both"/>
        <w:rPr/>
      </w:pPr>
      <w:r>
        <w:rPr>
          <w:color w:val="000000"/>
        </w:rPr>
        <w:t>“</w:t>
      </w:r>
      <w:r>
        <w:rPr>
          <w:rFonts w:ascii="Times New Roman" w:hAnsi="Times New Roman"/>
          <w:b/>
          <w:color w:val="000000"/>
          <w:sz w:val="24"/>
          <w:u w:val="single"/>
        </w:rPr>
        <w:t>Series A1 Mandatory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8.02</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A1 Redemption Price</w:t>
      </w:r>
      <w:r>
        <w:rPr>
          <w:rFonts w:ascii="Times New Roman" w:hAnsi="Times New Roman"/>
          <w:color w:val="000000"/>
          <w:sz w:val="24"/>
        </w:rPr>
        <w:t xml:space="preserve">” has the meaning set forth in </w:t>
      </w:r>
      <w:r>
        <w:rPr>
          <w:rFonts w:ascii="Times New Roman" w:hAnsi="Times New Roman"/>
          <w:color w:val="000000"/>
          <w:sz w:val="24"/>
          <w:u w:val="single"/>
        </w:rPr>
        <w:t>Section 8.02</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A1 Preferred Interest</w:t>
      </w:r>
      <w:r>
        <w:rPr>
          <w:rFonts w:ascii="Times New Roman" w:hAnsi="Times New Roman"/>
          <w:color w:val="000000"/>
          <w:sz w:val="24"/>
        </w:rPr>
        <w:t>” means the limited liability company interest represented by the Series A1 Preferred Units owned by a Series A1 Preferred Member in the Company at any particular time, including the right of such Series A1 Preferred Member to any and all benefits to which such Series A1 Preferred Member may be entitled as provided in the Act, this Agreement, or otherwise, together with the obligations of such Series A1 Preferred Member to comply with all terms and provisions of this Agreement and the Act.</w:t>
      </w:r>
    </w:p>
    <w:p>
      <w:pPr>
        <w:pStyle w:val="TextBody"/>
        <w:bidi w:val="0"/>
        <w:spacing w:before="0" w:after="240"/>
        <w:jc w:val="both"/>
        <w:rPr/>
      </w:pPr>
      <w:r>
        <w:rPr>
          <w:color w:val="000000"/>
        </w:rPr>
        <w:t>“</w:t>
      </w:r>
      <w:r>
        <w:rPr>
          <w:rFonts w:ascii="Times New Roman" w:hAnsi="Times New Roman"/>
          <w:b/>
          <w:color w:val="000000"/>
          <w:sz w:val="24"/>
          <w:u w:val="single"/>
        </w:rPr>
        <w:t>Series A1 Preferred Member</w:t>
      </w:r>
      <w:r>
        <w:rPr>
          <w:rFonts w:ascii="Times New Roman" w:hAnsi="Times New Roman"/>
          <w:color w:val="000000"/>
          <w:sz w:val="24"/>
        </w:rPr>
        <w:t>” means any Member holding Series A1 Preferred Units from time to time.</w:t>
      </w:r>
    </w:p>
    <w:p>
      <w:pPr>
        <w:pStyle w:val="TextBody"/>
        <w:bidi w:val="0"/>
        <w:spacing w:before="0" w:after="240"/>
        <w:jc w:val="both"/>
        <w:rPr/>
      </w:pPr>
      <w:r>
        <w:rPr>
          <w:color w:val="000000"/>
        </w:rPr>
        <w:t>“</w:t>
      </w:r>
      <w:r>
        <w:rPr>
          <w:rFonts w:ascii="Times New Roman" w:hAnsi="Times New Roman"/>
          <w:b/>
          <w:color w:val="000000"/>
          <w:sz w:val="24"/>
          <w:u w:val="single"/>
        </w:rPr>
        <w:t>Series A1 Preferred Stated Value</w:t>
      </w:r>
      <w:r>
        <w:rPr>
          <w:rFonts w:ascii="Times New Roman" w:hAnsi="Times New Roman"/>
          <w:color w:val="000000"/>
          <w:sz w:val="24"/>
        </w:rPr>
        <w:t>” means $1,000 per Series A1 Preferred Unit (subject to appropriate adjustment in the event of any unit distribution, unit split, combination or other similar recapitalization with respect to the Series A1 Preferred Units).</w:t>
      </w:r>
    </w:p>
    <w:p>
      <w:pPr>
        <w:pStyle w:val="TextBody"/>
        <w:bidi w:val="0"/>
        <w:spacing w:before="0" w:after="240"/>
        <w:jc w:val="both"/>
        <w:rPr/>
      </w:pPr>
      <w:r>
        <w:rPr>
          <w:color w:val="000000"/>
        </w:rPr>
        <w:t>“</w:t>
      </w:r>
      <w:r>
        <w:rPr>
          <w:rFonts w:ascii="Times New Roman" w:hAnsi="Times New Roman"/>
          <w:b/>
          <w:color w:val="000000"/>
          <w:sz w:val="24"/>
          <w:u w:val="single"/>
        </w:rPr>
        <w:t>Series A1 Preferred Units</w:t>
      </w:r>
      <w:r>
        <w:rPr>
          <w:rFonts w:ascii="Times New Roman" w:hAnsi="Times New Roman"/>
          <w:color w:val="000000"/>
          <w:sz w:val="24"/>
        </w:rPr>
        <w:t xml:space="preserve">” has the meaning set forth in </w:t>
      </w:r>
      <w:r>
        <w:rPr>
          <w:rFonts w:ascii="Times New Roman" w:hAnsi="Times New Roman"/>
          <w:color w:val="000000"/>
          <w:sz w:val="24"/>
          <w:u w:val="single"/>
        </w:rPr>
        <w:t>Section 3.07(b)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A/A1 Accruing Distributions</w:t>
      </w:r>
      <w:r>
        <w:rPr>
          <w:rFonts w:ascii="Times New Roman" w:hAnsi="Times New Roman"/>
          <w:color w:val="000000"/>
          <w:sz w:val="24"/>
        </w:rPr>
        <w:t xml:space="preserve">” has the meaning set forth in </w:t>
      </w:r>
      <w:r>
        <w:rPr>
          <w:rFonts w:ascii="Times New Roman" w:hAnsi="Times New Roman"/>
          <w:color w:val="000000"/>
          <w:sz w:val="24"/>
          <w:u w:val="single"/>
        </w:rPr>
        <w:t>Section 5.01(b)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A/A1 Preferred Members</w:t>
      </w:r>
      <w:r>
        <w:rPr>
          <w:rFonts w:ascii="Times New Roman" w:hAnsi="Times New Roman"/>
          <w:color w:val="000000"/>
          <w:sz w:val="24"/>
        </w:rPr>
        <w:t>” means the Series A Preferred Members and the Series A1 Preferred Members.</w:t>
      </w:r>
    </w:p>
    <w:p>
      <w:pPr>
        <w:pStyle w:val="TextBody"/>
        <w:bidi w:val="0"/>
        <w:spacing w:before="0" w:after="240"/>
        <w:jc w:val="both"/>
        <w:rPr/>
      </w:pPr>
      <w:r>
        <w:rPr>
          <w:color w:val="000000"/>
        </w:rPr>
        <w:t>“</w:t>
      </w:r>
      <w:r>
        <w:rPr>
          <w:rFonts w:ascii="Times New Roman" w:hAnsi="Times New Roman"/>
          <w:b/>
          <w:color w:val="000000"/>
          <w:sz w:val="24"/>
          <w:u w:val="single"/>
        </w:rPr>
        <w:t>Series A/A1 Preferred Units</w:t>
      </w:r>
      <w:r>
        <w:rPr>
          <w:rFonts w:ascii="Times New Roman" w:hAnsi="Times New Roman"/>
          <w:color w:val="000000"/>
          <w:sz w:val="24"/>
        </w:rPr>
        <w:t>” means the Series A Preferred Units and Series A1 Preferred Units.</w:t>
      </w:r>
    </w:p>
    <w:p>
      <w:pPr>
        <w:pStyle w:val="TextBody"/>
        <w:bidi w:val="0"/>
        <w:spacing w:before="0" w:after="240"/>
        <w:jc w:val="both"/>
        <w:rPr/>
      </w:pPr>
      <w:r>
        <w:rPr>
          <w:color w:val="000000"/>
        </w:rPr>
        <w:t>“</w:t>
      </w:r>
      <w:r>
        <w:rPr>
          <w:rFonts w:ascii="Times New Roman" w:hAnsi="Times New Roman"/>
          <w:b/>
          <w:color w:val="000000"/>
          <w:sz w:val="24"/>
          <w:u w:val="single"/>
        </w:rPr>
        <w:t>Series B Mandatory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 Mandatory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 Mandatory Redemption Date</w:t>
      </w:r>
      <w:r>
        <w:rPr>
          <w:rFonts w:ascii="Times New Roman" w:hAnsi="Times New Roman"/>
          <w:color w:val="000000"/>
          <w:sz w:val="24"/>
        </w:rPr>
        <w:t xml:space="preserve">” means the fifth (5th) anniversary of the Reference Date, and each anniversary thereafter.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Series B Mandatory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8.03</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B Redemption Price</w:t>
      </w:r>
      <w:r>
        <w:rPr>
          <w:rFonts w:ascii="Times New Roman" w:hAnsi="Times New Roman"/>
          <w:color w:val="000000"/>
          <w:sz w:val="24"/>
        </w:rPr>
        <w:t xml:space="preserve">” has the meaning set forth in </w:t>
      </w:r>
      <w:r>
        <w:rPr>
          <w:rFonts w:ascii="Times New Roman" w:hAnsi="Times New Roman"/>
          <w:color w:val="000000"/>
          <w:sz w:val="24"/>
          <w:u w:val="single"/>
        </w:rPr>
        <w:t>Section 8.03</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B Preferred Interest</w:t>
      </w:r>
      <w:r>
        <w:rPr>
          <w:rFonts w:ascii="Times New Roman" w:hAnsi="Times New Roman"/>
          <w:color w:val="000000"/>
          <w:sz w:val="24"/>
        </w:rPr>
        <w:t>” means the limited liability company interest represented by the Series B Preferred Units owned by a Series B Preferred Member in the Company at any particular time, including the right of such Series B Preferred Member to any and all benefits to which such Series B Preferred Member may be entitled as provided in the Act, this Agreement, or otherwise, together with the obligations of such Series B Preferred Member to comply with all terms and provisions of this Agreement and the Act.</w:t>
      </w:r>
    </w:p>
    <w:p>
      <w:pPr>
        <w:pStyle w:val="TextBody"/>
        <w:bidi w:val="0"/>
        <w:spacing w:before="0" w:after="240"/>
        <w:jc w:val="both"/>
        <w:rPr/>
      </w:pPr>
      <w:r>
        <w:rPr>
          <w:color w:val="000000"/>
        </w:rPr>
        <w:t>“</w:t>
      </w:r>
      <w:r>
        <w:rPr>
          <w:rFonts w:ascii="Times New Roman" w:hAnsi="Times New Roman"/>
          <w:b/>
          <w:color w:val="000000"/>
          <w:sz w:val="24"/>
          <w:u w:val="single"/>
        </w:rPr>
        <w:t>Series B Preferred Member</w:t>
      </w:r>
      <w:r>
        <w:rPr>
          <w:rFonts w:ascii="Times New Roman" w:hAnsi="Times New Roman"/>
          <w:color w:val="000000"/>
          <w:sz w:val="24"/>
        </w:rPr>
        <w:t>” means any Member holding Series B Preferred Units from time to time.</w:t>
      </w:r>
    </w:p>
    <w:p>
      <w:pPr>
        <w:pStyle w:val="TextBody"/>
        <w:bidi w:val="0"/>
        <w:spacing w:before="0" w:after="240"/>
        <w:jc w:val="both"/>
        <w:rPr/>
      </w:pPr>
      <w:r>
        <w:rPr>
          <w:color w:val="000000"/>
        </w:rPr>
        <w:t>“</w:t>
      </w:r>
      <w:r>
        <w:rPr>
          <w:rFonts w:ascii="Times New Roman" w:hAnsi="Times New Roman"/>
          <w:b/>
          <w:color w:val="000000"/>
          <w:sz w:val="24"/>
          <w:u w:val="single"/>
        </w:rPr>
        <w:t>Series B Preferred Stated Value</w:t>
      </w:r>
      <w:r>
        <w:rPr>
          <w:rFonts w:ascii="Times New Roman" w:hAnsi="Times New Roman"/>
          <w:color w:val="000000"/>
          <w:sz w:val="24"/>
        </w:rPr>
        <w:t>” means $1,000 per Series B Preferred Unit (subject to appropriate adjustment in the event of any unit distribution, unit split, combination or other similar recapitalization with respect to the Series B Preferred Units).</w:t>
      </w:r>
    </w:p>
    <w:p>
      <w:pPr>
        <w:pStyle w:val="TextBody"/>
        <w:bidi w:val="0"/>
        <w:spacing w:before="0" w:after="240"/>
        <w:jc w:val="both"/>
        <w:rPr/>
      </w:pPr>
      <w:r>
        <w:rPr>
          <w:color w:val="000000"/>
        </w:rPr>
        <w:t>“</w:t>
      </w:r>
      <w:r>
        <w:rPr>
          <w:rFonts w:ascii="Times New Roman" w:hAnsi="Times New Roman"/>
          <w:b/>
          <w:color w:val="000000"/>
          <w:sz w:val="24"/>
          <w:u w:val="single"/>
        </w:rPr>
        <w:t>Series B Preferred Units</w:t>
      </w:r>
      <w:r>
        <w:rPr>
          <w:rFonts w:ascii="Times New Roman" w:hAnsi="Times New Roman"/>
          <w:color w:val="000000"/>
          <w:sz w:val="24"/>
        </w:rPr>
        <w:t xml:space="preserve">” has the meaning set forth in </w:t>
      </w:r>
      <w:r>
        <w:rPr>
          <w:rFonts w:ascii="Times New Roman" w:hAnsi="Times New Roman"/>
          <w:color w:val="000000"/>
          <w:sz w:val="24"/>
          <w:u w:val="single"/>
        </w:rPr>
        <w:t>Section 3.07(c)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B1 Mandatory Redemption</w:t>
      </w:r>
      <w:r>
        <w:rPr>
          <w:rFonts w:ascii="Times New Roman" w:hAnsi="Times New Roman"/>
          <w:color w:val="000000"/>
          <w:sz w:val="24"/>
        </w:rPr>
        <w:t xml:space="preserve">” has the meaning set forth in </w:t>
      </w:r>
      <w:r>
        <w:rPr>
          <w:rFonts w:ascii="Times New Roman" w:hAnsi="Times New Roman"/>
          <w:color w:val="000000"/>
          <w:sz w:val="24"/>
          <w:u w:val="single"/>
        </w:rPr>
        <w:t>Section 8.04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B1 Mandatory Redemption 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8.04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B1 Mandatory Redemption Date</w:t>
      </w:r>
      <w:r>
        <w:rPr>
          <w:rFonts w:ascii="Times New Roman" w:hAnsi="Times New Roman"/>
          <w:color w:val="000000"/>
          <w:sz w:val="24"/>
        </w:rPr>
        <w:t xml:space="preserve">” means the fifth (5th) anniversary of the Effective Date, and each anniversary thereafter. </w:t>
      </w:r>
    </w:p>
    <w:p>
      <w:pPr>
        <w:pStyle w:val="TextBody"/>
        <w:bidi w:val="0"/>
        <w:spacing w:before="0" w:after="240"/>
        <w:jc w:val="both"/>
        <w:rPr/>
      </w:pPr>
      <w:r>
        <w:rPr>
          <w:color w:val="000000"/>
        </w:rPr>
        <w:t>“</w:t>
      </w:r>
      <w:r>
        <w:rPr>
          <w:rFonts w:ascii="Times New Roman" w:hAnsi="Times New Roman"/>
          <w:b/>
          <w:color w:val="000000"/>
          <w:sz w:val="24"/>
          <w:u w:val="single"/>
        </w:rPr>
        <w:t>Series B1 Mandatory Redemption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8.04</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B1 Redemption Price</w:t>
      </w:r>
      <w:r>
        <w:rPr>
          <w:rFonts w:ascii="Times New Roman" w:hAnsi="Times New Roman"/>
          <w:color w:val="000000"/>
          <w:sz w:val="24"/>
        </w:rPr>
        <w:t xml:space="preserve">” has the meaning set forth in </w:t>
      </w:r>
      <w:r>
        <w:rPr>
          <w:rFonts w:ascii="Times New Roman" w:hAnsi="Times New Roman"/>
          <w:color w:val="000000"/>
          <w:sz w:val="24"/>
          <w:u w:val="single"/>
        </w:rPr>
        <w:t>Section 8.04</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b/>
          <w:color w:val="000000"/>
          <w:sz w:val="24"/>
          <w:u w:val="single"/>
        </w:rPr>
        <w:t>Series B1 Preferred Interest</w:t>
      </w:r>
      <w:r>
        <w:rPr>
          <w:rFonts w:ascii="Times New Roman" w:hAnsi="Times New Roman"/>
          <w:color w:val="000000"/>
          <w:sz w:val="24"/>
        </w:rPr>
        <w:t>” means the limited liability company interest represented by the Series B1 Preferred Units owned by a Series B1 Preferred Member in the Company at any particular time, including the right of such Series B1 Preferred Member to any and all benefits to which such Series B1 Preferred Member may be entitled as provided in the Act, this Agreement, or otherwise, together with the obligations of such Series B1 Preferred Member to comply with all terms and provisions of this Agreement and the Act.</w:t>
      </w:r>
    </w:p>
    <w:p>
      <w:pPr>
        <w:pStyle w:val="TextBody"/>
        <w:bidi w:val="0"/>
        <w:spacing w:before="0" w:after="240"/>
        <w:jc w:val="both"/>
        <w:rPr/>
      </w:pPr>
      <w:r>
        <w:rPr>
          <w:color w:val="000000"/>
        </w:rPr>
        <w:t>“</w:t>
      </w:r>
      <w:r>
        <w:rPr>
          <w:rFonts w:ascii="Times New Roman" w:hAnsi="Times New Roman"/>
          <w:b/>
          <w:color w:val="000000"/>
          <w:sz w:val="24"/>
          <w:u w:val="single"/>
        </w:rPr>
        <w:t>Series B1 Preferred Member</w:t>
      </w:r>
      <w:r>
        <w:rPr>
          <w:rFonts w:ascii="Times New Roman" w:hAnsi="Times New Roman"/>
          <w:color w:val="000000"/>
          <w:sz w:val="24"/>
        </w:rPr>
        <w:t>” means any Member holding Series B1 Preferred Units from time to time.</w:t>
      </w:r>
    </w:p>
    <w:p>
      <w:pPr>
        <w:pStyle w:val="TextBody"/>
        <w:bidi w:val="0"/>
        <w:spacing w:before="0" w:after="240"/>
        <w:jc w:val="both"/>
        <w:rPr/>
      </w:pPr>
      <w:r>
        <w:rPr>
          <w:color w:val="000000"/>
        </w:rPr>
        <w:t>“</w:t>
      </w:r>
      <w:r>
        <w:rPr>
          <w:rFonts w:ascii="Times New Roman" w:hAnsi="Times New Roman"/>
          <w:b/>
          <w:color w:val="000000"/>
          <w:sz w:val="24"/>
          <w:u w:val="single"/>
        </w:rPr>
        <w:t>Series B1 Preferred Stated Value</w:t>
      </w:r>
      <w:r>
        <w:rPr>
          <w:rFonts w:ascii="Times New Roman" w:hAnsi="Times New Roman"/>
          <w:color w:val="000000"/>
          <w:sz w:val="24"/>
        </w:rPr>
        <w:t>” means $1,000 per Series B1 Preferred Unit (subject to appropriate adjustment in the event of any unit distribution, unit split, combination or other similar recapitalization with respect to the Series B1 Preferred Units).</w:t>
      </w:r>
    </w:p>
    <w:p>
      <w:pPr>
        <w:pStyle w:val="TextBody"/>
        <w:bidi w:val="0"/>
        <w:spacing w:before="0" w:after="240"/>
        <w:jc w:val="both"/>
        <w:rPr/>
      </w:pPr>
      <w:r>
        <w:rPr>
          <w:color w:val="000000"/>
        </w:rPr>
        <w:t>“</w:t>
      </w:r>
      <w:r>
        <w:rPr>
          <w:rFonts w:ascii="Times New Roman" w:hAnsi="Times New Roman"/>
          <w:b/>
          <w:color w:val="000000"/>
          <w:sz w:val="24"/>
          <w:u w:val="single"/>
        </w:rPr>
        <w:t>Series B1 Preferred Units</w:t>
      </w:r>
      <w:r>
        <w:rPr>
          <w:rFonts w:ascii="Times New Roman" w:hAnsi="Times New Roman"/>
          <w:color w:val="000000"/>
          <w:sz w:val="24"/>
        </w:rPr>
        <w:t xml:space="preserve">” has the meaning set forth in </w:t>
      </w:r>
      <w:r>
        <w:rPr>
          <w:rFonts w:ascii="Times New Roman" w:hAnsi="Times New Roman"/>
          <w:color w:val="000000"/>
          <w:sz w:val="24"/>
          <w:u w:val="single"/>
        </w:rPr>
        <w:t>Section 3.07(d)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Series B/B1 Accruing Distributions</w:t>
      </w:r>
      <w:r>
        <w:rPr>
          <w:rFonts w:ascii="Times New Roman" w:hAnsi="Times New Roman"/>
          <w:color w:val="000000"/>
          <w:sz w:val="24"/>
        </w:rPr>
        <w:t xml:space="preserve">” has the meaning set forth in </w:t>
      </w:r>
      <w:r>
        <w:rPr>
          <w:rFonts w:ascii="Times New Roman" w:hAnsi="Times New Roman"/>
          <w:color w:val="000000"/>
          <w:sz w:val="24"/>
          <w:u w:val="single"/>
        </w:rPr>
        <w:t>Section 5.01(c)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B/B1 Optional Conversion</w:t>
      </w:r>
      <w:r>
        <w:rPr>
          <w:rFonts w:ascii="Times New Roman" w:hAnsi="Times New Roman"/>
          <w:color w:val="000000"/>
          <w:sz w:val="24"/>
        </w:rPr>
        <w:t xml:space="preserve">” has the meaning set forth in </w:t>
      </w:r>
      <w:r>
        <w:rPr>
          <w:rFonts w:ascii="Times New Roman" w:hAnsi="Times New Roman"/>
          <w:color w:val="000000"/>
          <w:sz w:val="24"/>
          <w:u w:val="single"/>
        </w:rPr>
        <w:t>Section 3.08(a)(i)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B/B1 Mandatory Conversion</w:t>
      </w:r>
      <w:r>
        <w:rPr>
          <w:rFonts w:ascii="Times New Roman" w:hAnsi="Times New Roman"/>
          <w:color w:val="000000"/>
          <w:sz w:val="24"/>
        </w:rPr>
        <w:t xml:space="preserve">” has the meaning set forth in </w:t>
      </w:r>
      <w:r>
        <w:rPr>
          <w:rFonts w:ascii="Times New Roman" w:hAnsi="Times New Roman"/>
          <w:color w:val="000000"/>
          <w:sz w:val="24"/>
          <w:u w:val="single"/>
        </w:rPr>
        <w:t>Section 8.06(b)(i)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Series B/B1 Preferred Members</w:t>
      </w:r>
      <w:r>
        <w:rPr>
          <w:rFonts w:ascii="Times New Roman" w:hAnsi="Times New Roman"/>
          <w:color w:val="000000"/>
          <w:sz w:val="24"/>
        </w:rPr>
        <w:t>” means the Series B Preferred Members and the Series B1 Preferred Members.</w:t>
      </w:r>
    </w:p>
    <w:p>
      <w:pPr>
        <w:pStyle w:val="TextBody"/>
        <w:bidi w:val="0"/>
        <w:spacing w:before="0" w:after="240"/>
        <w:jc w:val="both"/>
        <w:rPr/>
      </w:pPr>
      <w:r>
        <w:rPr>
          <w:color w:val="000000"/>
        </w:rPr>
        <w:t>“</w:t>
      </w:r>
      <w:r>
        <w:rPr>
          <w:rFonts w:ascii="Times New Roman" w:hAnsi="Times New Roman"/>
          <w:b/>
          <w:color w:val="000000"/>
          <w:sz w:val="24"/>
          <w:u w:val="single"/>
        </w:rPr>
        <w:t>Series B/B1 Preferred Units</w:t>
      </w:r>
      <w:r>
        <w:rPr>
          <w:rFonts w:ascii="Times New Roman" w:hAnsi="Times New Roman"/>
          <w:color w:val="000000"/>
          <w:sz w:val="24"/>
        </w:rPr>
        <w:t>” means the Series B Preferred Units and the Series B1 Preferred Units.</w:t>
      </w:r>
    </w:p>
    <w:p>
      <w:pPr>
        <w:pStyle w:val="TextBody"/>
        <w:bidi w:val="0"/>
        <w:spacing w:before="0" w:after="240"/>
        <w:jc w:val="both"/>
        <w:rPr/>
      </w:pPr>
      <w:r>
        <w:rPr>
          <w:color w:val="000000"/>
        </w:rPr>
        <w:t>“</w:t>
      </w:r>
      <w:r>
        <w:rPr>
          <w:rFonts w:ascii="Times New Roman" w:hAnsi="Times New Roman"/>
          <w:b/>
          <w:color w:val="000000"/>
          <w:sz w:val="24"/>
          <w:u w:val="single"/>
        </w:rPr>
        <w:t>SOFR</w:t>
      </w:r>
      <w:r>
        <w:rPr>
          <w:rFonts w:ascii="Times New Roman" w:hAnsi="Times New Roman"/>
          <w:color w:val="000000"/>
          <w:sz w:val="24"/>
        </w:rPr>
        <w:t xml:space="preserve">” means the ninety (90) day average of the Secured Overnight Financing Rate, as of 5:00 p.m., New York City time, two (2) Business Days prior to the applicable Quarterly Distribution Date, as such rate is published by the Federal Reserve Bank of New York on its website at https://www.newyorkfed.org/markets/reference-rates/sofr-averages-and-index;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solely with respect to the Series A1 Preferred Units and Series B1 Preferred Units, for the first Quarterly Distribution Date following the Effective Date (being October 16, 2026), “</w:t>
      </w:r>
      <w:r>
        <w:rPr>
          <w:rFonts w:ascii="Times New Roman" w:hAnsi="Times New Roman"/>
          <w:b/>
          <w:color w:val="000000"/>
          <w:sz w:val="24"/>
          <w:u w:val="single"/>
        </w:rPr>
        <w:t>SOFR</w:t>
      </w:r>
      <w:r>
        <w:rPr>
          <w:rFonts w:ascii="Times New Roman" w:hAnsi="Times New Roman"/>
          <w:color w:val="000000"/>
          <w:sz w:val="24"/>
        </w:rPr>
        <w:t>” means the sixteen (16) day average of the Secured Overnight Financing Rate (reflecting the period from the Effective Date to October 16, 2026), as of 5:00 p.m., New York City time, two (2) Business Days prior to such Quarterly Distribution Date, as such rate is published by the Federal Reserve Bank of New York on its website at https://www.newyorkfed.org/markets/reference-rates/sofr-averages-and-index.</w:t>
      </w:r>
    </w:p>
    <w:p>
      <w:pPr>
        <w:pStyle w:val="TextBody"/>
        <w:bidi w:val="0"/>
        <w:spacing w:before="0" w:after="240"/>
        <w:jc w:val="both"/>
        <w:rPr/>
      </w:pPr>
      <w:r>
        <w:rPr>
          <w:color w:val="000000"/>
        </w:rPr>
        <w:t>“</w:t>
      </w:r>
      <w:r>
        <w:rPr>
          <w:rFonts w:ascii="Times New Roman" w:hAnsi="Times New Roman"/>
          <w:b/>
          <w:color w:val="000000"/>
          <w:sz w:val="24"/>
          <w:u w:val="single"/>
        </w:rPr>
        <w:t>Special Redemption Distribution</w:t>
      </w:r>
      <w:r>
        <w:rPr>
          <w:rFonts w:ascii="Times New Roman" w:hAnsi="Times New Roman"/>
          <w:color w:val="000000"/>
          <w:sz w:val="24"/>
        </w:rPr>
        <w:t xml:space="preserve">” has the meaning set forth in </w:t>
      </w:r>
      <w:r>
        <w:rPr>
          <w:rFonts w:ascii="Times New Roman" w:hAnsi="Times New Roman"/>
          <w:color w:val="000000"/>
          <w:sz w:val="24"/>
          <w:u w:val="single"/>
        </w:rPr>
        <w:t>Section 8.10(d)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Special Redemption Price</w:t>
      </w:r>
      <w:r>
        <w:rPr>
          <w:rFonts w:ascii="Times New Roman" w:hAnsi="Times New Roman"/>
          <w:color w:val="000000"/>
          <w:sz w:val="24"/>
        </w:rPr>
        <w:t xml:space="preserve">” has the meaning set forth in </w:t>
      </w:r>
      <w:r>
        <w:rPr>
          <w:rFonts w:ascii="Times New Roman" w:hAnsi="Times New Roman"/>
          <w:color w:val="000000"/>
          <w:sz w:val="24"/>
          <w:u w:val="single"/>
        </w:rPr>
        <w:t>Section 8.10(d)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Specified Liabilities</w:t>
      </w:r>
      <w:r>
        <w:rPr>
          <w:rFonts w:ascii="Times New Roman" w:hAnsi="Times New Roman"/>
          <w:color w:val="000000"/>
          <w:sz w:val="24"/>
        </w:rPr>
        <w:t>” means liabilities or obligations of the Company directly related to the Company’s ownership of (a) Residual Interests and (b) the UACC Loan.</w:t>
      </w:r>
    </w:p>
    <w:p>
      <w:pPr>
        <w:pStyle w:val="TextBody"/>
        <w:bidi w:val="0"/>
        <w:spacing w:before="0" w:after="240"/>
        <w:jc w:val="both"/>
        <w:rPr/>
      </w:pPr>
      <w:r>
        <w:rPr>
          <w:color w:val="000000"/>
        </w:rPr>
        <w:t>“</w:t>
      </w:r>
      <w:r>
        <w:rPr>
          <w:rFonts w:ascii="Times New Roman" w:hAnsi="Times New Roman"/>
          <w:b/>
          <w:color w:val="000000"/>
          <w:sz w:val="24"/>
          <w:u w:val="single"/>
        </w:rPr>
        <w:t>Subject Securities</w:t>
      </w:r>
      <w:r>
        <w:rPr>
          <w:rFonts w:ascii="Times New Roman" w:hAnsi="Times New Roman"/>
          <w:color w:val="000000"/>
          <w:sz w:val="24"/>
        </w:rPr>
        <w:t xml:space="preserve">” has the meaning set forth in </w:t>
      </w:r>
      <w:r>
        <w:rPr>
          <w:rFonts w:ascii="Times New Roman" w:hAnsi="Times New Roman"/>
          <w:color w:val="000000"/>
          <w:sz w:val="24"/>
          <w:u w:val="single"/>
        </w:rPr>
        <w:t>Section 3.05(a)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Subsidiary</w:t>
      </w:r>
      <w:r>
        <w:rPr>
          <w:rFonts w:ascii="Times New Roman" w:hAnsi="Times New Roman"/>
          <w:color w:val="000000"/>
          <w:sz w:val="24"/>
        </w:rPr>
        <w:t>” means, with respect to any Person, any corporation, limited liability company, partnership, association, or other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partnership or other similar ownership interests thereof is at the time owned or controlled, directly or indirectly, by that Person or one or more Subsidiaries of that Person or a combination thereof and for this purpose, a Person or Persons own a majority ownership interest in such a business entity (other than a corporation) if such Person or Persons shall be allocated a majority of such business entity’s gains or losses or shall be or control any managing director or general partner of such business entity (other than a corporation). The term Subsidiary shall include all Subsidiaries of such Subsidiary.</w:t>
      </w:r>
    </w:p>
    <w:p>
      <w:pPr>
        <w:pStyle w:val="TextBody"/>
        <w:bidi w:val="0"/>
        <w:spacing w:before="0" w:after="240"/>
        <w:jc w:val="both"/>
        <w:rPr/>
      </w:pPr>
      <w:r>
        <w:rPr>
          <w:color w:val="000000"/>
        </w:rPr>
        <w:t>“</w:t>
      </w:r>
      <w:r>
        <w:rPr>
          <w:rFonts w:ascii="Times New Roman" w:hAnsi="Times New Roman"/>
          <w:b/>
          <w:color w:val="000000"/>
          <w:sz w:val="24"/>
          <w:u w:val="single"/>
        </w:rPr>
        <w:t>Substituted Member</w:t>
      </w:r>
      <w:r>
        <w:rPr>
          <w:rFonts w:ascii="Times New Roman" w:hAnsi="Times New Roman"/>
          <w:color w:val="000000"/>
          <w:sz w:val="24"/>
        </w:rPr>
        <w:t xml:space="preserve">” has the meaning set forth in </w:t>
      </w:r>
      <w:r>
        <w:rPr>
          <w:rFonts w:ascii="Times New Roman" w:hAnsi="Times New Roman"/>
          <w:color w:val="000000"/>
          <w:sz w:val="24"/>
          <w:u w:val="single"/>
        </w:rPr>
        <w:t>Section 7.02</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color w:val="000000"/>
        </w:rPr>
        <w:t>“</w:t>
      </w:r>
      <w:r>
        <w:rPr>
          <w:rFonts w:ascii="Times New Roman" w:hAnsi="Times New Roman"/>
          <w:b/>
          <w:color w:val="000000"/>
          <w:sz w:val="24"/>
          <w:u w:val="single"/>
        </w:rPr>
        <w:t>Transaction Agreements</w:t>
      </w:r>
      <w:r>
        <w:rPr>
          <w:rFonts w:ascii="Times New Roman" w:hAnsi="Times New Roman"/>
          <w:color w:val="000000"/>
          <w:sz w:val="24"/>
        </w:rPr>
        <w:t>” has the meaning set forth in the Purchase Agreement.</w:t>
      </w:r>
    </w:p>
    <w:p>
      <w:pPr>
        <w:pStyle w:val="TextBody"/>
        <w:bidi w:val="0"/>
        <w:spacing w:before="0" w:after="240"/>
        <w:jc w:val="both"/>
        <w:rPr/>
      </w:pPr>
      <w:r>
        <w:rPr>
          <w:color w:val="000000"/>
        </w:rPr>
        <w:t>“</w:t>
      </w:r>
      <w:r>
        <w:rPr>
          <w:rFonts w:ascii="Times New Roman" w:hAnsi="Times New Roman"/>
          <w:b/>
          <w:color w:val="000000"/>
          <w:sz w:val="24"/>
          <w:u w:val="single"/>
        </w:rPr>
        <w:t>Transfer</w:t>
      </w:r>
      <w:r>
        <w:rPr>
          <w:rFonts w:ascii="Times New Roman" w:hAnsi="Times New Roman"/>
          <w:color w:val="000000"/>
          <w:sz w:val="24"/>
        </w:rPr>
        <w:t>” means, with respect to any Securities, (a) when used as a verb, to sell, assign, dispose of, exchange, pledge, encumber, hypothecate or otherwise transfer (including by way of a merger or consolidation or division) such Securities or any participation or interest therein, in each case directly or indirectly, or agree or commit to do any of the foregoing, and (b) when used as a noun, a sale, assignment, disposition, exchange, pledge, encumbrance, hypothecation or other transfer (including by way of a merger or consolidation or division) of such Securities or any participation or interest therein, in each case directly or indirectly, or any agreement or commitment to do any of the foregoing.</w:t>
      </w:r>
    </w:p>
    <w:p>
      <w:pPr>
        <w:pStyle w:val="TextBody"/>
        <w:bidi w:val="0"/>
        <w:spacing w:before="0" w:after="240"/>
        <w:jc w:val="both"/>
        <w:rPr/>
      </w:pPr>
      <w:r>
        <w:rPr>
          <w:color w:val="000000"/>
        </w:rPr>
        <w:t>“</w:t>
      </w:r>
      <w:r>
        <w:rPr>
          <w:rFonts w:ascii="Times New Roman" w:hAnsi="Times New Roman"/>
          <w:b/>
          <w:color w:val="000000"/>
          <w:sz w:val="24"/>
          <w:u w:val="single"/>
        </w:rPr>
        <w:t>Transferred Employee</w:t>
      </w:r>
      <w:r>
        <w:rPr>
          <w:rFonts w:ascii="Times New Roman" w:hAnsi="Times New Roman"/>
          <w:color w:val="000000"/>
          <w:sz w:val="24"/>
        </w:rPr>
        <w:t xml:space="preserve">” has the meaning set forth in </w:t>
      </w:r>
      <w:r>
        <w:rPr>
          <w:rFonts w:ascii="Times New Roman" w:hAnsi="Times New Roman"/>
          <w:color w:val="000000"/>
          <w:sz w:val="24"/>
          <w:u w:val="single"/>
        </w:rPr>
        <w:t>Section 12.11(a)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u w:val="single"/>
        </w:rPr>
        <w:t>UACC</w:t>
      </w:r>
      <w:r>
        <w:rPr>
          <w:rFonts w:ascii="Times New Roman" w:hAnsi="Times New Roman"/>
          <w:color w:val="000000"/>
          <w:sz w:val="24"/>
        </w:rPr>
        <w:t xml:space="preserve">” means United Auto Credit Corporation, a California corporation. </w:t>
      </w:r>
    </w:p>
    <w:p>
      <w:pPr>
        <w:pStyle w:val="TextBody"/>
        <w:bidi w:val="0"/>
        <w:spacing w:before="0" w:after="240"/>
        <w:jc w:val="both"/>
        <w:rPr/>
      </w:pPr>
      <w:r>
        <w:rPr>
          <w:color w:val="000000"/>
        </w:rPr>
        <w:t>“</w:t>
      </w:r>
      <w:r>
        <w:rPr>
          <w:rFonts w:ascii="Times New Roman" w:hAnsi="Times New Roman"/>
          <w:b/>
          <w:color w:val="000000"/>
          <w:sz w:val="24"/>
          <w:u w:val="single"/>
        </w:rPr>
        <w:t>UACC Loan</w:t>
      </w:r>
      <w:r>
        <w:rPr>
          <w:rFonts w:ascii="Times New Roman" w:hAnsi="Times New Roman"/>
          <w:color w:val="000000"/>
          <w:sz w:val="24"/>
        </w:rPr>
        <w:t>” means [***]</w:t>
      </w:r>
    </w:p>
    <w:p>
      <w:pPr>
        <w:pStyle w:val="TextBody"/>
        <w:bidi w:val="0"/>
        <w:spacing w:before="0" w:after="240"/>
        <w:jc w:val="both"/>
        <w:rPr/>
      </w:pPr>
      <w:r>
        <w:rPr>
          <w:color w:val="000000"/>
        </w:rPr>
        <w:t>“</w:t>
      </w:r>
      <w:r>
        <w:rPr>
          <w:rFonts w:ascii="Times New Roman" w:hAnsi="Times New Roman"/>
          <w:b/>
          <w:color w:val="000000"/>
          <w:sz w:val="24"/>
          <w:u w:val="single"/>
        </w:rPr>
        <w:t>UACST 2023-1</w:t>
      </w:r>
      <w:r>
        <w:rPr>
          <w:rFonts w:ascii="Times New Roman" w:hAnsi="Times New Roman"/>
          <w:color w:val="000000"/>
          <w:sz w:val="24"/>
        </w:rPr>
        <w:t>” means United Auto Credit Securitization Trust 2023-1, a Delaware statutory trust.</w:t>
      </w:r>
    </w:p>
    <w:p>
      <w:pPr>
        <w:pStyle w:val="TextBody"/>
        <w:bidi w:val="0"/>
        <w:spacing w:before="0" w:after="240"/>
        <w:jc w:val="both"/>
        <w:rPr/>
      </w:pPr>
      <w:r>
        <w:rPr>
          <w:color w:val="000000"/>
        </w:rPr>
        <w:t>“</w:t>
      </w:r>
      <w:r>
        <w:rPr>
          <w:rFonts w:ascii="Times New Roman" w:hAnsi="Times New Roman"/>
          <w:b/>
          <w:color w:val="000000"/>
          <w:sz w:val="24"/>
          <w:u w:val="single"/>
        </w:rPr>
        <w:t>UACST 2024-1</w:t>
      </w:r>
      <w:r>
        <w:rPr>
          <w:rFonts w:ascii="Times New Roman" w:hAnsi="Times New Roman"/>
          <w:color w:val="000000"/>
          <w:sz w:val="24"/>
        </w:rPr>
        <w:t>” means United Auto Credit Securitization Trust 2024-1, a Delaware statutory trust.</w:t>
      </w:r>
    </w:p>
    <w:p>
      <w:pPr>
        <w:pStyle w:val="TextBody"/>
        <w:bidi w:val="0"/>
        <w:spacing w:before="0" w:after="240"/>
        <w:jc w:val="both"/>
        <w:rPr/>
      </w:pPr>
      <w:r>
        <w:rPr>
          <w:color w:val="000000"/>
        </w:rPr>
        <w:t>“</w:t>
      </w:r>
      <w:r>
        <w:rPr>
          <w:rFonts w:ascii="Times New Roman" w:hAnsi="Times New Roman"/>
          <w:b/>
          <w:color w:val="000000"/>
          <w:sz w:val="24"/>
          <w:u w:val="single"/>
        </w:rPr>
        <w:t>UACST 2025-1</w:t>
      </w:r>
      <w:r>
        <w:rPr>
          <w:rFonts w:ascii="Times New Roman" w:hAnsi="Times New Roman"/>
          <w:color w:val="000000"/>
          <w:sz w:val="24"/>
        </w:rPr>
        <w:t>” means United Auto Credit Securitization Trust 2025-1, a Delaware statutory trust.</w:t>
      </w:r>
    </w:p>
    <w:p>
      <w:pPr>
        <w:pStyle w:val="TextBody"/>
        <w:bidi w:val="0"/>
        <w:spacing w:before="0" w:after="240"/>
        <w:jc w:val="both"/>
        <w:rPr/>
      </w:pPr>
      <w:r>
        <w:rPr>
          <w:color w:val="000000"/>
        </w:rPr>
        <w:t>“</w:t>
      </w:r>
      <w:r>
        <w:rPr>
          <w:rFonts w:ascii="Times New Roman" w:hAnsi="Times New Roman"/>
          <w:b/>
          <w:color w:val="000000"/>
          <w:sz w:val="24"/>
          <w:u w:val="single"/>
        </w:rPr>
        <w:t>UACST 2026-1</w:t>
      </w:r>
      <w:r>
        <w:rPr>
          <w:rFonts w:ascii="Times New Roman" w:hAnsi="Times New Roman"/>
          <w:color w:val="000000"/>
          <w:sz w:val="24"/>
        </w:rPr>
        <w:t>” means United Auto Credit Securitization Trust 2026-1, a Delaware statutory trust.</w:t>
      </w:r>
    </w:p>
    <w:p>
      <w:pPr>
        <w:pStyle w:val="TextBody"/>
        <w:bidi w:val="0"/>
        <w:spacing w:before="0" w:after="240"/>
        <w:jc w:val="both"/>
        <w:rPr/>
      </w:pPr>
      <w:r>
        <w:rPr>
          <w:color w:val="000000"/>
        </w:rPr>
        <w:t>“</w:t>
      </w:r>
      <w:r>
        <w:rPr>
          <w:rFonts w:ascii="Times New Roman" w:hAnsi="Times New Roman"/>
          <w:b/>
          <w:color w:val="000000"/>
          <w:sz w:val="24"/>
          <w:u w:val="single"/>
        </w:rPr>
        <w:t>UACST 2025-1 Documentation</w:t>
      </w:r>
      <w:r>
        <w:rPr>
          <w:rFonts w:ascii="Times New Roman" w:hAnsi="Times New Roman"/>
          <w:color w:val="000000"/>
          <w:sz w:val="24"/>
        </w:rPr>
        <w:t>” means, collectively, the “Basic Documents” and the “Certificates”, each as defined in that certain Sale and Servicing Agreement, dated as of February 28, 2025, by and among UACST 2025-1, as issuer, United Auto Credit Financing LLC, as depositor, United Auto Credit Corporation, as servicer, and Computershare Trust Company, N.A., as backup servicer and indenture trustee.</w:t>
      </w:r>
    </w:p>
    <w:p>
      <w:pPr>
        <w:pStyle w:val="TextBody"/>
        <w:bidi w:val="0"/>
        <w:spacing w:before="0" w:after="240"/>
        <w:jc w:val="both"/>
        <w:rPr/>
      </w:pPr>
      <w:r>
        <w:rPr>
          <w:color w:val="000000"/>
        </w:rPr>
        <w:t>“</w:t>
      </w:r>
      <w:r>
        <w:rPr>
          <w:rFonts w:ascii="Times New Roman" w:hAnsi="Times New Roman"/>
          <w:b/>
          <w:color w:val="000000"/>
          <w:sz w:val="24"/>
          <w:u w:val="single"/>
        </w:rPr>
        <w:t>Units</w:t>
      </w:r>
      <w:r>
        <w:rPr>
          <w:rFonts w:ascii="Times New Roman" w:hAnsi="Times New Roman"/>
          <w:color w:val="000000"/>
          <w:sz w:val="24"/>
        </w:rPr>
        <w:t>” means, collectively, the Common Units and the Preferred Units.</w:t>
      </w:r>
    </w:p>
    <w:p>
      <w:pPr>
        <w:pStyle w:val="TextBody"/>
        <w:bidi w:val="0"/>
        <w:spacing w:before="0" w:after="240"/>
        <w:jc w:val="both"/>
        <w:rPr/>
      </w:pPr>
      <w:r>
        <w:rPr>
          <w:color w:val="000000"/>
        </w:rPr>
        <w:t>“</w:t>
      </w:r>
      <w:r>
        <w:rPr>
          <w:rFonts w:ascii="Times New Roman" w:hAnsi="Times New Roman"/>
          <w:b/>
          <w:color w:val="000000"/>
          <w:sz w:val="24"/>
          <w:u w:val="single"/>
        </w:rPr>
        <w:t>Vast</w:t>
      </w:r>
      <w:r>
        <w:rPr>
          <w:rFonts w:ascii="Times New Roman" w:hAnsi="Times New Roman"/>
          <w:color w:val="000000"/>
          <w:sz w:val="24"/>
        </w:rPr>
        <w:t>” means Vast.com, Inc., a California corporation</w:t>
      </w:r>
    </w:p>
    <w:p>
      <w:pPr>
        <w:pStyle w:val="TextBody"/>
        <w:bidi w:val="0"/>
        <w:spacing w:before="0" w:after="240"/>
        <w:jc w:val="both"/>
        <w:rPr/>
      </w:pPr>
      <w:r>
        <w:rPr>
          <w:color w:val="000000"/>
        </w:rPr>
        <w:t>“</w:t>
      </w:r>
      <w:r>
        <w:rPr>
          <w:rFonts w:ascii="Times New Roman" w:hAnsi="Times New Roman"/>
          <w:b/>
          <w:color w:val="000000"/>
          <w:sz w:val="24"/>
          <w:u w:val="single"/>
        </w:rPr>
        <w:t>Vroom Member</w:t>
      </w:r>
      <w:r>
        <w:rPr>
          <w:rFonts w:ascii="Times New Roman" w:hAnsi="Times New Roman"/>
          <w:color w:val="000000"/>
          <w:sz w:val="24"/>
        </w:rPr>
        <w:t xml:space="preserve">” means, Vroom Finance Holdings, LLC, a Delaware limited liability company. </w:t>
      </w:r>
    </w:p>
    <w:p>
      <w:pPr>
        <w:pStyle w:val="TextBody"/>
        <w:bidi w:val="0"/>
        <w:spacing w:before="0" w:after="240"/>
        <w:jc w:val="both"/>
        <w:rPr/>
      </w:pPr>
      <w:r>
        <w:rPr>
          <w:color w:val="000000"/>
        </w:rPr>
        <w:t>“</w:t>
      </w:r>
      <w:r>
        <w:rPr>
          <w:rFonts w:ascii="Times New Roman" w:hAnsi="Times New Roman"/>
          <w:b/>
          <w:color w:val="000000"/>
          <w:sz w:val="24"/>
          <w:u w:val="single"/>
        </w:rPr>
        <w:t>Vroom Parent</w:t>
      </w:r>
      <w:r>
        <w:rPr>
          <w:rFonts w:ascii="Times New Roman" w:hAnsi="Times New Roman"/>
          <w:color w:val="000000"/>
          <w:sz w:val="24"/>
        </w:rPr>
        <w:t>” has the meaning set forth in the Preamble.</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2</w:t>
      </w:r>
      <w:r>
        <w:rPr>
          <w:rFonts w:ascii="Times New Roman" w:hAnsi="Times New Roman"/>
          <w:caps/>
          <w:color w:val="000000"/>
          <w:sz w:val="24"/>
          <w:u w:val="single"/>
        </w:rPr>
        <w:br/>
        <w:t>ORGANIZATION</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2.01 </w:t>
      </w:r>
      <w:r>
        <w:rPr>
          <w:rFonts w:ascii="Times New Roman" w:hAnsi="Times New Roman"/>
          <w:b w:val="false"/>
          <w:color w:val="000000"/>
          <w:sz w:val="24"/>
          <w:u w:val="single"/>
        </w:rPr>
        <w:t>Formation of Company</w:t>
      </w:r>
      <w:r>
        <w:rPr>
          <w:rFonts w:ascii="Times New Roman" w:hAnsi="Times New Roman"/>
          <w:b w:val="false"/>
          <w:color w:val="000000"/>
          <w:sz w:val="24"/>
        </w:rPr>
        <w:t>. The Company has previously been formed as a Delaware limited liability company pursuant to the Act. The Second LLC Agreement is hereby amended and restated in its entirety, and this Agreement constitutes the entire limited liability company agreement of the Company, and the Company is hereby continued. The rights and liabilities of the Members shall be as provided for in the Act if not otherwise expressly provided for in this Agreement.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2.02 </w:t>
      </w:r>
      <w:r>
        <w:rPr>
          <w:rFonts w:ascii="Times New Roman" w:hAnsi="Times New Roman"/>
          <w:b w:val="false"/>
          <w:color w:val="000000"/>
          <w:sz w:val="24"/>
          <w:u w:val="single"/>
        </w:rPr>
        <w:t>Name</w:t>
      </w:r>
      <w:r>
        <w:rPr>
          <w:rFonts w:ascii="Times New Roman" w:hAnsi="Times New Roman"/>
          <w:b w:val="false"/>
          <w:color w:val="000000"/>
          <w:sz w:val="24"/>
        </w:rPr>
        <w:t>. The name of the Company is “Vroom Automotive, LLC”. The Company Business shall be conducted under such name or under such other names as the Board of Managers may deem appropriate in compliance with applicable Law.</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2.03 </w:t>
      </w:r>
      <w:r>
        <w:rPr>
          <w:rFonts w:ascii="Times New Roman" w:hAnsi="Times New Roman"/>
          <w:b w:val="false"/>
          <w:color w:val="000000"/>
          <w:sz w:val="24"/>
          <w:u w:val="single"/>
        </w:rPr>
        <w:t>Office; Agent for Service of Process</w:t>
      </w:r>
      <w:r>
        <w:rPr>
          <w:rFonts w:ascii="Times New Roman" w:hAnsi="Times New Roman"/>
          <w:b w:val="false"/>
          <w:color w:val="000000"/>
          <w:sz w:val="24"/>
        </w:rPr>
        <w:t>. The address of the Company’s registered office in Delaware is c/o The Corporation Trust Company, Corporation Trust Center, 1209 Orange St., Wilmington, Delaware 19801. The name and address of the registered agent in Delaware for service of process is The Corporation Trust Company, Corporation Trust Center, 1209 Orange St., Wilmington, Delaware 19801. The Board of Managers may change the registered office and the registered agent of the Company from time to time. The Company shall maintain a principal place of business and office(s) at such place or places as the Board of Managers may from time to time designate.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2.04 </w:t>
      </w:r>
      <w:r>
        <w:rPr>
          <w:rFonts w:ascii="Times New Roman" w:hAnsi="Times New Roman"/>
          <w:b w:val="false"/>
          <w:color w:val="000000"/>
          <w:sz w:val="24"/>
          <w:u w:val="single"/>
        </w:rPr>
        <w:t>Term</w:t>
      </w:r>
      <w:r>
        <w:rPr>
          <w:rFonts w:ascii="Times New Roman" w:hAnsi="Times New Roman"/>
          <w:b w:val="false"/>
          <w:color w:val="000000"/>
          <w:sz w:val="24"/>
        </w:rPr>
        <w:t xml:space="preserve">. The Company commenced as a Delaware limited liability company on the date of the filing of the Certificate, and the term of the Company shall continue until the dissolution of the Company in accordance with the provisions of </w:t>
      </w:r>
      <w:r>
        <w:rPr>
          <w:rFonts w:ascii="Times New Roman" w:hAnsi="Times New Roman"/>
          <w:b w:val="false"/>
          <w:color w:val="000000"/>
          <w:sz w:val="24"/>
          <w:u w:val="single"/>
        </w:rPr>
        <w:t>Article 9</w:t>
      </w:r>
      <w:r>
        <w:rPr>
          <w:rFonts w:ascii="Times New Roman" w:hAnsi="Times New Roman"/>
          <w:color w:val="000000"/>
          <w:sz w:val="24"/>
        </w:rPr>
        <w:t xml:space="preserve"> </w:t>
      </w:r>
      <w:r>
        <w:rPr>
          <w:rFonts w:ascii="Times New Roman" w:hAnsi="Times New Roman"/>
          <w:b w:val="false"/>
          <w:color w:val="000000"/>
          <w:sz w:val="24"/>
        </w:rPr>
        <w:t>or as otherwise provided by Law.</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2.05 </w:t>
      </w:r>
      <w:r>
        <w:rPr>
          <w:rFonts w:ascii="Times New Roman" w:hAnsi="Times New Roman"/>
          <w:b w:val="false"/>
          <w:color w:val="000000"/>
          <w:sz w:val="24"/>
          <w:u w:val="single"/>
        </w:rPr>
        <w:t>Purpose and Scope.</w:t>
      </w:r>
    </w:p>
    <w:p>
      <w:pPr>
        <w:pStyle w:val="TextBody"/>
        <w:bidi w:val="0"/>
        <w:spacing w:before="0" w:after="240"/>
        <w:jc w:val="both"/>
        <w:rPr>
          <w:rFonts w:ascii="Times New Roman" w:hAnsi="Times New Roman"/>
          <w:sz w:val="24"/>
        </w:rPr>
      </w:pPr>
      <w:r>
        <w:rPr>
          <w:rFonts w:ascii="Times New Roman" w:hAnsi="Times New Roman"/>
          <w:color w:val="000000"/>
          <w:sz w:val="24"/>
        </w:rPr>
        <w:t>(a) The purpose and business of the Company is to (i) own Residual Interests, (ii) make the UACC Loan, (iii) license the Non-Exclusive CarStory IP, and (iv) with the prior written consent of the Investor Member, engage in any other lawful business or activity for which a limited liability company may be organized under the Act (the “</w:t>
      </w:r>
      <w:r>
        <w:rPr>
          <w:rFonts w:ascii="Times New Roman" w:hAnsi="Times New Roman"/>
          <w:b/>
          <w:color w:val="000000"/>
          <w:sz w:val="24"/>
          <w:u w:val="single"/>
        </w:rPr>
        <w:t>Company Business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The Company shall have the power to do any and all acts reasonably necessary, appropriate, proper, advisable, incidental or convenient to or for the furtherance of the Company Business and for the protection and benefit of the Company, and shall have, without limitation, any and all of the powers that may be exercised on behalf of the Company by the Board of Managers pursuant to this Agreement, including pursuant to </w:t>
      </w:r>
      <w:r>
        <w:rPr>
          <w:rFonts w:ascii="Times New Roman" w:hAnsi="Times New Roman"/>
          <w:color w:val="000000"/>
          <w:sz w:val="24"/>
          <w:u w:val="single"/>
        </w:rPr>
        <w:t>Section 2.06</w:t>
      </w:r>
      <w:r>
        <w:rPr>
          <w:rFonts w:ascii="Times New Roman" w:hAnsi="Times New Roman"/>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2.06 </w:t>
      </w:r>
      <w:r>
        <w:rPr>
          <w:rFonts w:ascii="Times New Roman" w:hAnsi="Times New Roman"/>
          <w:b w:val="false"/>
          <w:color w:val="000000"/>
          <w:sz w:val="24"/>
          <w:u w:val="single"/>
        </w:rPr>
        <w:t>Authorized Acts</w:t>
      </w:r>
      <w:r>
        <w:rPr>
          <w:rFonts w:ascii="Times New Roman" w:hAnsi="Times New Roman"/>
          <w:b w:val="false"/>
          <w:color w:val="000000"/>
          <w:sz w:val="24"/>
        </w:rPr>
        <w:t xml:space="preserve">. In furtherance of the Company Business, but subject to any applicable provisions of this Agreement (including, without limitation, </w:t>
      </w:r>
      <w:r>
        <w:rPr>
          <w:rFonts w:ascii="Times New Roman" w:hAnsi="Times New Roman"/>
          <w:b w:val="false"/>
          <w:color w:val="000000"/>
          <w:sz w:val="24"/>
          <w:u w:val="single"/>
        </w:rPr>
        <w:t>Section 3.09(b)</w:t>
      </w:r>
      <w:r>
        <w:rPr>
          <w:rFonts w:ascii="Times New Roman" w:hAnsi="Times New Roman"/>
          <w:b w:val="false"/>
          <w:color w:val="000000"/>
          <w:sz w:val="24"/>
        </w:rPr>
        <w:t>), the Board of Managers, on behalf of the Company, is hereby authorized and empowered:</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do any and all things and perform any and all acts necessary or incidental to the Company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enter into, and take any action under, any contract, agreement or other instrument as the Board of Managers shall determine to be necessary or desirable to further the objects and purposes of the Company, including contracts or agreements with any Member or prospective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open, maintain and close bank accounts and draw checks or other orders for the payment of money and open, maintain and close brokerage, money market fund and similar accounts;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hire, for usual and customary payments and expenses, consultants, brokers, attorneys, accountants and such other agents for the Company or its Subsidiaries, as applicable, as it may deem necessary or advisable, and authorize any such agent to act for and on behalf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incur expenses and other obligations on behalf of the Company or its Subsidiaries, as applicable, and, to the extent that funds of the Company or its Subsidiaries, as applicable, are available for such purpose, pay all such expenses and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to borrow money, guarantee any obligation or grant a security interest in the assets of the Company, which borrowing, guarantee or security interest shall be on such terms as the Board of Managers shall determine;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cause the Company to purchase or otherwise acquire Securities, or purchase or otherwise acquire Securities on behalf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to bring and defend actions and proceedings at law or in equity and before any 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 establish Reserves for contingencies and for any other purpose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to prepare and file all necessary returns and statements, pay all taxes, assessments and other impositions applicable to the assets of the Company, and withhold amounts with respect thereto from funds otherwise distributable to any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to determine the accounting methods and conventions to be used in the preparation of any accounting or financial records of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to act for and on behalf of the Company in all matters incidental to the foregoing.</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2.07 </w:t>
      </w:r>
      <w:r>
        <w:rPr>
          <w:rFonts w:ascii="Times New Roman" w:hAnsi="Times New Roman"/>
          <w:b w:val="false"/>
          <w:color w:val="000000"/>
          <w:sz w:val="24"/>
          <w:u w:val="single"/>
        </w:rPr>
        <w:t>Fiscal Year</w:t>
      </w:r>
      <w:r>
        <w:rPr>
          <w:rFonts w:ascii="Times New Roman" w:hAnsi="Times New Roman"/>
          <w:b w:val="false"/>
          <w:color w:val="000000"/>
          <w:sz w:val="24"/>
        </w:rPr>
        <w:t>. The fiscal year (the “</w:t>
      </w:r>
      <w:r>
        <w:rPr>
          <w:rFonts w:ascii="Times New Roman" w:hAnsi="Times New Roman"/>
          <w:color w:val="000000"/>
          <w:sz w:val="24"/>
          <w:u w:val="single"/>
        </w:rPr>
        <w:t>Fiscal Year</w:t>
      </w:r>
      <w:r>
        <w:rPr>
          <w:rFonts w:ascii="Times New Roman" w:hAnsi="Times New Roman"/>
          <w:color w:val="000000"/>
          <w:sz w:val="24"/>
        </w:rPr>
        <w:t>”</w:t>
      </w:r>
      <w:r>
        <w:rPr>
          <w:rFonts w:ascii="Times New Roman" w:hAnsi="Times New Roman"/>
          <w:b w:val="false"/>
          <w:color w:val="000000"/>
          <w:sz w:val="24"/>
        </w:rPr>
        <w:t>) of the Company shall end on the last day of each calendar year unless, for U.S. federal income tax purposes, another Fiscal Year is required. The Company shall have the same Fiscal Year for U.S. federal income tax purposes and for accounting purposes. Notwithstanding the foregoing, the Company shall not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change its Fiscal Year without the prior written consent of the Investor Member (which shall not be unreasonably withheld, conditioned or delayed).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2.08 </w:t>
      </w:r>
      <w:r>
        <w:rPr>
          <w:rFonts w:ascii="Times New Roman" w:hAnsi="Times New Roman"/>
          <w:b w:val="false"/>
          <w:color w:val="000000"/>
          <w:sz w:val="24"/>
          <w:u w:val="single"/>
        </w:rPr>
        <w:t>Separateness</w:t>
      </w:r>
      <w:r>
        <w:rPr>
          <w:rFonts w:ascii="Times New Roman" w:hAnsi="Times New Roman"/>
          <w:b w:val="false"/>
          <w:color w:val="000000"/>
          <w:sz w:val="24"/>
        </w:rPr>
        <w:t>. The Company shall take all reasonable steps to maintain the Company’s identity as a separate legal entity from each other Person and to make it manifest to third parties that it is a separate legal entity. The Members acknowledge and agree that the Company is intended to be bankruptcy remote from each Member and any Affiliate of the Members that is not the Company. Without limiting the generality of the foregoing, the Company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maintain its own books, records and agreements as official records and separate from those of its Affiliates and Members and all other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maintain its bank accounts separate from those of its Affiliates and Members and all other Persons, except as otherwise contemplated in this Agreement or unanimously approved by the Board of Managers;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hold itself out to the public as a legal entity separate from its Affiliates and Members and all other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conduct its business in its own name and hold all of its assets in its own name, and not commingle its property, funds or assets with the property, funds or assets of (or participate in any cash management system with) any of its Affiliates or Members or any other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not hold out its credit as being available to satisfy the obligations of any Member or any of its Affiliates (excluding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not become or remain liable, directly or contingently, in connection with any Indebtedness or other liability of a Member or any of its Affiliates (excluding, for the avoidance of doubt, the Company), whether by guaranty, indorsement (other than indorsements of negotiable instruments for deposit or collection in the ordinary course of business), agreement to purchase or repurchase, agreement to supply or advance funds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not grant or permit to exist any lien, encumbrance, pledge, guarantee, security interest or other right in favor of any Person in the assets of the Company that secures the obligations or is for the benefit of a Member and its Subsidiaries (excluding, for the avoidance of doubt,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not make any loans or advances of any funds to a Member or its Subsidiaries (excluding, for the avoidance of doubt, the Company), except as otherwise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file its own tax returns and pay its own taxes in accordance with applicable Law and any agreements to which it is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pay its own liabilities and expenses only out of its own funds; and</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correct any known misunderstanding regarding its separate identity.</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3</w:t>
      </w:r>
      <w:r>
        <w:rPr>
          <w:rFonts w:ascii="Times New Roman" w:hAnsi="Times New Roman"/>
          <w:caps/>
          <w:color w:val="000000"/>
          <w:sz w:val="24"/>
          <w:u w:val="single"/>
        </w:rPr>
        <w:br/>
        <w:t>CONTRIBUTIONS; UNITS; ISSUANCES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3.01 </w:t>
      </w:r>
      <w:r>
        <w:rPr>
          <w:rFonts w:ascii="Times New Roman" w:hAnsi="Times New Roman"/>
          <w:b w:val="false"/>
          <w:color w:val="000000"/>
          <w:sz w:val="24"/>
          <w:u w:val="single"/>
        </w:rPr>
        <w:t>Initial Capital Contributions</w:t>
      </w:r>
      <w:r>
        <w:rPr>
          <w:rFonts w:ascii="Times New Roman" w:hAnsi="Times New Roman"/>
          <w:b w:val="false"/>
          <w:color w:val="000000"/>
          <w:sz w:val="24"/>
        </w:rPr>
        <w:t xml:space="preserve">. As of the date hereof, the Members have made (or have been deemed to have made) Capital Contributions as reflected on </w:t>
      </w:r>
      <w:r>
        <w:rPr>
          <w:rFonts w:ascii="Times New Roman" w:hAnsi="Times New Roman"/>
          <w:b w:val="false"/>
          <w:color w:val="000000"/>
          <w:sz w:val="24"/>
          <w:u w:val="single"/>
        </w:rPr>
        <w:t>SCHEDULE A</w:t>
      </w:r>
      <w:r>
        <w:rPr>
          <w:rFonts w:ascii="Times New Roman" w:hAnsi="Times New Roman"/>
          <w:color w:val="000000"/>
          <w:sz w:val="24"/>
        </w:rPr>
        <w:t xml:space="preserve"> </w:t>
      </w:r>
      <w:r>
        <w:rPr>
          <w:rFonts w:ascii="Times New Roman" w:hAnsi="Times New Roman"/>
          <w:b w:val="false"/>
          <w:color w:val="000000"/>
          <w:sz w:val="24"/>
        </w:rPr>
        <w:t>attached hereto.</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3.02 </w:t>
      </w:r>
      <w:r>
        <w:rPr>
          <w:rFonts w:ascii="Times New Roman" w:hAnsi="Times New Roman"/>
          <w:b w:val="false"/>
          <w:color w:val="000000"/>
          <w:sz w:val="24"/>
          <w:u w:val="single"/>
        </w:rPr>
        <w:t>Additional Capital Contributions; Additional Members.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No Member shall be required to make any Additional Capital Contributions to the Company. In addition, except as otherwise permitted by this Agreement, no Member shall be permitted to make any Additional Capital Contributions to the Company without the consent of the Board of Managers and the Investor Member. The Board of Managers, subject to the express provisions of this Agreement (including </w:t>
      </w:r>
      <w:r>
        <w:rPr>
          <w:rFonts w:ascii="Times New Roman" w:hAnsi="Times New Roman"/>
          <w:color w:val="000000"/>
          <w:sz w:val="24"/>
          <w:u w:val="single"/>
        </w:rPr>
        <w:t>Section 3.03</w:t>
      </w:r>
      <w:r>
        <w:rPr>
          <w:rFonts w:ascii="Times New Roman" w:hAnsi="Times New Roman"/>
          <w:color w:val="000000"/>
          <w:sz w:val="24"/>
        </w:rPr>
        <w:t xml:space="preserve">, </w:t>
      </w:r>
      <w:r>
        <w:rPr>
          <w:rFonts w:ascii="Times New Roman" w:hAnsi="Times New Roman"/>
          <w:color w:val="000000"/>
          <w:sz w:val="24"/>
          <w:u w:val="single"/>
        </w:rPr>
        <w:t>Section 3.05</w:t>
      </w:r>
      <w:r>
        <w:rPr>
          <w:rFonts w:ascii="Times New Roman" w:hAnsi="Times New Roman"/>
          <w:color w:val="000000"/>
          <w:sz w:val="24"/>
        </w:rPr>
        <w:t xml:space="preserve">, </w:t>
      </w:r>
      <w:r>
        <w:rPr>
          <w:rFonts w:ascii="Times New Roman" w:hAnsi="Times New Roman"/>
          <w:color w:val="000000"/>
          <w:sz w:val="24"/>
          <w:u w:val="single"/>
        </w:rPr>
        <w:t>Section 3.08</w:t>
      </w:r>
      <w:r>
        <w:rPr>
          <w:rFonts w:ascii="Times New Roman" w:hAnsi="Times New Roman"/>
          <w:color w:val="000000"/>
          <w:sz w:val="24"/>
        </w:rPr>
        <w:t xml:space="preserve">, </w:t>
      </w:r>
      <w:r>
        <w:rPr>
          <w:rFonts w:ascii="Times New Roman" w:hAnsi="Times New Roman"/>
          <w:color w:val="000000"/>
          <w:sz w:val="24"/>
          <w:u w:val="single"/>
        </w:rPr>
        <w:t>Section 3.09(b)</w:t>
      </w:r>
      <w:r>
        <w:rPr>
          <w:rFonts w:ascii="Times New Roman" w:hAnsi="Times New Roman"/>
          <w:color w:val="000000"/>
          <w:sz w:val="24"/>
        </w:rPr>
        <w:t xml:space="preserve"> and </w:t>
      </w:r>
      <w:r>
        <w:rPr>
          <w:rFonts w:ascii="Times New Roman" w:hAnsi="Times New Roman"/>
          <w:color w:val="000000"/>
          <w:sz w:val="24"/>
          <w:u w:val="single"/>
        </w:rPr>
        <w:t>Section 8.06(b)</w:t>
      </w:r>
      <w:r>
        <w:rPr>
          <w:rFonts w:ascii="Times New Roman" w:hAnsi="Times New Roman"/>
          <w:color w:val="000000"/>
          <w:sz w:val="24"/>
        </w:rPr>
        <w:t xml:space="preserve">), shall have sole discretion to issue Units or other equity Securities of the Company, in such amounts, at a purchase price per Unit or other equity Security and on other terms and conditions as determined by the Board of Managers and, subject to </w:t>
      </w:r>
      <w:r>
        <w:rPr>
          <w:rFonts w:ascii="Times New Roman" w:hAnsi="Times New Roman"/>
          <w:color w:val="000000"/>
          <w:sz w:val="24"/>
          <w:u w:val="single"/>
        </w:rPr>
        <w:t>Section 3.09(b)</w:t>
      </w:r>
      <w:r>
        <w:rPr>
          <w:rFonts w:ascii="Times New Roman" w:hAnsi="Times New Roman"/>
          <w:color w:val="000000"/>
          <w:sz w:val="24"/>
        </w:rPr>
        <w:t xml:space="preserve"> and </w:t>
      </w:r>
      <w:r>
        <w:rPr>
          <w:rFonts w:ascii="Times New Roman" w:hAnsi="Times New Roman"/>
          <w:color w:val="000000"/>
          <w:sz w:val="24"/>
          <w:u w:val="single"/>
        </w:rPr>
        <w:t>Section 10.01</w:t>
      </w:r>
      <w:r>
        <w:rPr>
          <w:rFonts w:ascii="Times New Roman" w:hAnsi="Times New Roman"/>
          <w:color w:val="000000"/>
          <w:sz w:val="24"/>
        </w:rPr>
        <w:t>, to amend this Agreement accordingly.</w:t>
      </w:r>
    </w:p>
    <w:p>
      <w:pPr>
        <w:pStyle w:val="TextBody"/>
        <w:bidi w:val="0"/>
        <w:spacing w:before="0" w:after="240"/>
        <w:jc w:val="both"/>
        <w:rPr>
          <w:rFonts w:ascii="Times New Roman" w:hAnsi="Times New Roman"/>
          <w:sz w:val="24"/>
        </w:rPr>
      </w:pPr>
      <w:r>
        <w:rPr>
          <w:rFonts w:ascii="Times New Roman" w:hAnsi="Times New Roman"/>
          <w:color w:val="000000"/>
          <w:sz w:val="24"/>
        </w:rPr>
        <w:t>(b) Each new member to be admitted to the Company (each an “</w:t>
      </w:r>
      <w:r>
        <w:rPr>
          <w:rFonts w:ascii="Times New Roman" w:hAnsi="Times New Roman"/>
          <w:b/>
          <w:color w:val="000000"/>
          <w:sz w:val="24"/>
          <w:u w:val="single"/>
        </w:rPr>
        <w:t>Additional Member</w:t>
      </w:r>
      <w:r>
        <w:rPr>
          <w:rFonts w:ascii="Times New Roman" w:hAnsi="Times New Roman"/>
          <w:color w:val="000000"/>
          <w:sz w:val="24"/>
        </w:rPr>
        <w:t>”) shall execute and deliver a written instrument satisfactory to the Board of Managers, whereby such Additional Member shall become a party to this Agreement, as well as any other documents required by the Board of Managers. Upon execution and delivery of a counterpart of or joinder to this Agreement and acceptance thereof by the Board of Managers, such Person shall be admitted as a Member. Each such Additional Member shall thereafter be entitled to all the rights and subject to all the obligations of a Member as set forth herein. Notwithstanding the foregoing or any other provision of this Agreement, (i) the parties hereto acknowledge and agree that the Investor Member was admitted as a member of the Company as of the Reference Date, and (ii) any transferee of Units owned by the Investor Member shall be admitted as an Additional Member upon execution and delivery of a counterpart of or joinder to this Agreement (as well as any other administrative or ministerial documents reasonably required by the Board of Managers and which are in a form reasonably acceptable to such transferee and the Investor Member) and without any approvals or consents by the Board of Managers.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3.03 </w:t>
      </w:r>
      <w:r>
        <w:rPr>
          <w:rFonts w:ascii="Times New Roman" w:hAnsi="Times New Roman"/>
          <w:b w:val="false"/>
          <w:color w:val="000000"/>
          <w:sz w:val="24"/>
          <w:u w:val="single"/>
        </w:rPr>
        <w:t>Additional Equity Financings; Permitted Asset Contributions.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Except as set forth in </w:t>
      </w:r>
      <w:r>
        <w:rPr>
          <w:rFonts w:ascii="Times New Roman" w:hAnsi="Times New Roman"/>
          <w:color w:val="000000"/>
          <w:sz w:val="24"/>
          <w:u w:val="single"/>
        </w:rPr>
        <w:t>Section 3.03(b)</w:t>
      </w:r>
      <w:r>
        <w:rPr>
          <w:rFonts w:ascii="Times New Roman" w:hAnsi="Times New Roman"/>
          <w:color w:val="000000"/>
          <w:sz w:val="24"/>
        </w:rPr>
        <w:t xml:space="preserve">, the Company shall not, without the prior written consent of the Investor Member (for so long as it or its Affiliates hold any Units), conduct or obtain any Additional Equity Financing.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Notwithstanding the foregoing, and subject to </w:t>
      </w:r>
      <w:r>
        <w:rPr>
          <w:rFonts w:ascii="Times New Roman" w:hAnsi="Times New Roman"/>
          <w:color w:val="000000"/>
          <w:sz w:val="24"/>
          <w:u w:val="single"/>
        </w:rPr>
        <w:t>Section 3.04</w:t>
      </w:r>
      <w:r>
        <w:rPr>
          <w:rFonts w:ascii="Times New Roman" w:hAnsi="Times New Roman"/>
          <w:color w:val="000000"/>
          <w:sz w:val="24"/>
        </w:rPr>
        <w:t xml:space="preserve"> and </w:t>
      </w:r>
      <w:r>
        <w:rPr>
          <w:rFonts w:ascii="Times New Roman" w:hAnsi="Times New Roman"/>
          <w:color w:val="000000"/>
          <w:sz w:val="24"/>
          <w:u w:val="single"/>
        </w:rPr>
        <w:t>Section 3.05</w:t>
      </w:r>
      <w:r>
        <w:rPr>
          <w:rFonts w:ascii="Times New Roman" w:hAnsi="Times New Roman"/>
          <w:color w:val="000000"/>
          <w:sz w:val="24"/>
        </w:rPr>
        <w:t xml:space="preserve">, the Company may issue Preferred Units to any third party in connection with a Permitted Asset Contribution; </w:t>
      </w:r>
      <w:r>
        <w:rPr>
          <w:rFonts w:ascii="Times New Roman" w:hAnsi="Times New Roman"/>
          <w:color w:val="000000"/>
          <w:sz w:val="24"/>
          <w:u w:val="single"/>
        </w:rPr>
        <w:t>provided</w:t>
      </w:r>
      <w:r>
        <w:rPr>
          <w:rFonts w:ascii="Times New Roman" w:hAnsi="Times New Roman"/>
          <w:color w:val="000000"/>
          <w:sz w:val="24"/>
        </w:rPr>
        <w:t xml:space="preserve">, that (i) such Preferred Units shall rank </w:t>
      </w:r>
      <w:r>
        <w:rPr>
          <w:rFonts w:ascii="Times New Roman" w:hAnsi="Times New Roman"/>
          <w:i/>
          <w:color w:val="000000"/>
          <w:sz w:val="24"/>
        </w:rPr>
        <w:t xml:space="preserve">pari passu </w:t>
      </w:r>
      <w:r>
        <w:rPr>
          <w:rFonts w:ascii="Times New Roman" w:hAnsi="Times New Roman"/>
          <w:color w:val="000000"/>
          <w:sz w:val="24"/>
        </w:rPr>
        <w:t xml:space="preserve">with, and have substantially similar terms as, the Series B/B1 Preferred Units (or, with the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prior written consent of the Investor Member, the Series A/A1 Preferred Units) and (ii) the aggregate Fair Market Value of all such Preferred Units issued pursuant to such Permitted Asset Contribution shall not exceed [***] of the Fair Market Value of [***]. Subject to </w:t>
      </w:r>
      <w:r>
        <w:rPr>
          <w:rFonts w:ascii="Times New Roman" w:hAnsi="Times New Roman"/>
          <w:color w:val="000000"/>
          <w:sz w:val="24"/>
          <w:u w:val="single"/>
        </w:rPr>
        <w:t>Section 3.04</w:t>
      </w:r>
      <w:r>
        <w:rPr>
          <w:rFonts w:ascii="Times New Roman" w:hAnsi="Times New Roman"/>
          <w:color w:val="000000"/>
          <w:sz w:val="24"/>
        </w:rPr>
        <w:t xml:space="preserve"> and </w:t>
      </w:r>
      <w:r>
        <w:rPr>
          <w:rFonts w:ascii="Times New Roman" w:hAnsi="Times New Roman"/>
          <w:color w:val="000000"/>
          <w:sz w:val="24"/>
          <w:u w:val="single"/>
        </w:rPr>
        <w:t>Section 3.05</w:t>
      </w:r>
      <w:r>
        <w:rPr>
          <w:rFonts w:ascii="Times New Roman" w:hAnsi="Times New Roman"/>
          <w:color w:val="000000"/>
          <w:sz w:val="24"/>
        </w:rPr>
        <w:t xml:space="preserve">, [***] (A) the proceeds raised from such issuance of Preferred Units will be paid to the Company in cash and subsequently distributed to the Vroom Member, and (B) the Vroom Member shall be issued a number of Common Units equal to (i) the Fair Market Value of [***], </w:t>
      </w:r>
      <w:r>
        <w:rPr>
          <w:rFonts w:ascii="Times New Roman" w:hAnsi="Times New Roman"/>
          <w:i/>
          <w:color w:val="000000"/>
          <w:sz w:val="24"/>
        </w:rPr>
        <w:t>less</w:t>
      </w:r>
      <w:r>
        <w:rPr>
          <w:rFonts w:ascii="Times New Roman" w:hAnsi="Times New Roman"/>
          <w:color w:val="000000"/>
          <w:sz w:val="24"/>
        </w:rPr>
        <w:t xml:space="preserve"> the aggregate Fair Market Value of all Preferred Units issued in connection with such Permitted Asset Contribution, </w:t>
      </w:r>
      <w:r>
        <w:rPr>
          <w:rFonts w:ascii="Times New Roman" w:hAnsi="Times New Roman"/>
          <w:i/>
          <w:color w:val="000000"/>
          <w:sz w:val="24"/>
        </w:rPr>
        <w:t xml:space="preserve">divided by </w:t>
      </w:r>
      <w:r>
        <w:rPr>
          <w:rFonts w:ascii="Times New Roman" w:hAnsi="Times New Roman"/>
          <w:color w:val="000000"/>
          <w:sz w:val="24"/>
        </w:rPr>
        <w:t xml:space="preserve">(ii) the Fair Market Value of a Common Unit (determined as of the time immediately prior to the applicable Permitted Asset Contribution). For the avoidance of doubt, this </w:t>
      </w:r>
      <w:r>
        <w:rPr>
          <w:rFonts w:ascii="Times New Roman" w:hAnsi="Times New Roman"/>
          <w:color w:val="000000"/>
          <w:sz w:val="24"/>
          <w:u w:val="single"/>
        </w:rPr>
        <w:t>Section 3.03(b)</w:t>
      </w:r>
      <w:r>
        <w:rPr>
          <w:rFonts w:ascii="Times New Roman" w:hAnsi="Times New Roman"/>
          <w:color w:val="000000"/>
          <w:sz w:val="24"/>
        </w:rPr>
        <w:t xml:space="preserve"> shall not apply to the transactions contemplated by the Purchase Agreement and Residual Interest Purchase Agreement.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3.04 </w:t>
      </w:r>
      <w:r>
        <w:rPr>
          <w:rFonts w:ascii="Times New Roman" w:hAnsi="Times New Roman"/>
          <w:b w:val="false"/>
          <w:color w:val="000000"/>
          <w:sz w:val="24"/>
          <w:u w:val="single"/>
        </w:rPr>
        <w:t>Right of First Refusal.</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At any time, and subject to the terms and conditions specified in this </w:t>
      </w:r>
      <w:r>
        <w:rPr>
          <w:rFonts w:ascii="Times New Roman" w:hAnsi="Times New Roman"/>
          <w:color w:val="000000"/>
          <w:sz w:val="24"/>
          <w:u w:val="single"/>
        </w:rPr>
        <w:t>Section 3.04</w:t>
      </w:r>
      <w:r>
        <w:rPr>
          <w:rFonts w:ascii="Times New Roman" w:hAnsi="Times New Roman"/>
          <w:color w:val="000000"/>
          <w:sz w:val="24"/>
        </w:rPr>
        <w:t>, the Investor Member shall have a right of first refusal to purchase any Preferred Units issued in connection with any Additional Equity Financing (“</w:t>
      </w:r>
      <w:r>
        <w:rPr>
          <w:rFonts w:ascii="Times New Roman" w:hAnsi="Times New Roman"/>
          <w:b/>
          <w:color w:val="000000"/>
          <w:sz w:val="24"/>
          <w:u w:val="single"/>
        </w:rPr>
        <w:t>Additional Preferred Units</w:t>
      </w:r>
      <w:r>
        <w:rPr>
          <w:rFonts w:ascii="Times New Roman" w:hAnsi="Times New Roman"/>
          <w:color w:val="000000"/>
          <w:sz w:val="24"/>
        </w:rPr>
        <w:t xml:space="preserve">”). Each time the Company proposes to issue any Additional Preferred Units, the Company shall first make an offering of the Additional Preferred Units to the Investor Member in accordance with the following provisions of this </w:t>
      </w:r>
      <w:r>
        <w:rPr>
          <w:rFonts w:ascii="Times New Roman" w:hAnsi="Times New Roman"/>
          <w:color w:val="000000"/>
          <w:sz w:val="24"/>
          <w:u w:val="single"/>
        </w:rPr>
        <w:t>Section 3.04</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(b) The Company shall give written notice (a “</w:t>
      </w:r>
      <w:r>
        <w:rPr>
          <w:rFonts w:ascii="Times New Roman" w:hAnsi="Times New Roman"/>
          <w:b/>
          <w:color w:val="000000"/>
          <w:sz w:val="24"/>
          <w:u w:val="single"/>
        </w:rPr>
        <w:t>ROFR Offer Notice</w:t>
      </w:r>
      <w:r>
        <w:rPr>
          <w:rFonts w:ascii="Times New Roman" w:hAnsi="Times New Roman"/>
          <w:color w:val="000000"/>
          <w:sz w:val="24"/>
        </w:rPr>
        <w:t>”) to the Investor Member stating its intention to issue Additional Preferred Units and specifying the number of Preferred Units and the material terms and conditions, including the price (the “</w:t>
      </w:r>
      <w:r>
        <w:rPr>
          <w:rFonts w:ascii="Times New Roman" w:hAnsi="Times New Roman"/>
          <w:b/>
          <w:color w:val="000000"/>
          <w:sz w:val="24"/>
          <w:u w:val="single"/>
        </w:rPr>
        <w:t>Offer Price</w:t>
      </w:r>
      <w:r>
        <w:rPr>
          <w:rFonts w:ascii="Times New Roman" w:hAnsi="Times New Roman"/>
          <w:color w:val="000000"/>
          <w:sz w:val="24"/>
        </w:rPr>
        <w:t>”), pursuant to which the Company proposes to issue the Additional Preferred Units. The ROFR Offer Notice shall constitute the Company’s offer to issue the Additional Preferred Units to the Investor Member, which offer shall be irrevocable for a period of thirty (30) Business Days (the “</w:t>
      </w:r>
      <w:r>
        <w:rPr>
          <w:rFonts w:ascii="Times New Roman" w:hAnsi="Times New Roman"/>
          <w:b/>
          <w:color w:val="000000"/>
          <w:sz w:val="24"/>
          <w:u w:val="single"/>
        </w:rPr>
        <w:t>ROFR Notice Period</w:t>
      </w:r>
      <w:r>
        <w:rPr>
          <w:rFonts w:ascii="Times New Roman" w:hAnsi="Times New Roman"/>
          <w:color w:val="000000"/>
          <w:sz w:val="24"/>
        </w:rPr>
        <w:t xml:space="preserve">”) following delivery of such notice. </w:t>
      </w:r>
    </w:p>
    <w:p>
      <w:pPr>
        <w:pStyle w:val="TextBody"/>
        <w:bidi w:val="0"/>
        <w:spacing w:before="0" w:after="240"/>
        <w:jc w:val="both"/>
        <w:rPr>
          <w:rFonts w:ascii="Times New Roman" w:hAnsi="Times New Roman"/>
          <w:sz w:val="24"/>
        </w:rPr>
      </w:pPr>
      <w:r>
        <w:rPr>
          <w:rFonts w:ascii="Times New Roman" w:hAnsi="Times New Roman"/>
          <w:color w:val="000000"/>
          <w:sz w:val="24"/>
        </w:rPr>
        <w:t>(c) Upon receipt of the ROFR Offer Notice, the Investor Member shall have the option until the end of the ROFR Notice Period to purchase all or a portion of the Additional Preferred Units by delivering a written notice (a “</w:t>
      </w:r>
      <w:r>
        <w:rPr>
          <w:rFonts w:ascii="Times New Roman" w:hAnsi="Times New Roman"/>
          <w:b/>
          <w:color w:val="000000"/>
          <w:sz w:val="24"/>
          <w:u w:val="single"/>
        </w:rPr>
        <w:t>ROFR Acceptance Notice</w:t>
      </w:r>
      <w:r>
        <w:rPr>
          <w:rFonts w:ascii="Times New Roman" w:hAnsi="Times New Roman"/>
          <w:color w:val="000000"/>
          <w:sz w:val="24"/>
        </w:rPr>
        <w:t xml:space="preserve">”) to the Company stating that it exercises the option to purchase the applicable number of Additional Preferred Units for the Offer Price and on the other terms specified in the ROFR Offer Notice.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If the Investor Member fails to deliver a ROFR Acceptance Notice during a ROFR Notice Period, it shall be deemed to have waived any rights that it may have to purchase the Additional Preferred Units pursuant to this </w:t>
      </w:r>
      <w:r>
        <w:rPr>
          <w:rFonts w:ascii="Times New Roman" w:hAnsi="Times New Roman"/>
          <w:color w:val="000000"/>
          <w:sz w:val="24"/>
          <w:u w:val="single"/>
        </w:rPr>
        <w:t>Section 3.04</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If the Investor Member shall have exercised its right to purchase Additional Preferred Units in accordance with this </w:t>
      </w:r>
      <w:r>
        <w:rPr>
          <w:rFonts w:ascii="Times New Roman" w:hAnsi="Times New Roman"/>
          <w:color w:val="000000"/>
          <w:sz w:val="24"/>
          <w:u w:val="single"/>
        </w:rPr>
        <w:t>Section 3.04</w:t>
      </w:r>
      <w:r>
        <w:rPr>
          <w:rFonts w:ascii="Times New Roman" w:hAnsi="Times New Roman"/>
          <w:color w:val="000000"/>
          <w:sz w:val="24"/>
        </w:rPr>
        <w:t xml:space="preserve">, the issuance of such Additional Preferred Units shall be consummated as soon as practicable after the delivery of the ROFR Acceptance Notice, but in any event within fifteen (15) Business Days after the expiration date of the ROFR Notice Period. The Members shall take all actions as may be reasonably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necessary to consummate the sale contemplated by this </w:t>
      </w:r>
      <w:r>
        <w:rPr>
          <w:rFonts w:ascii="Times New Roman" w:hAnsi="Times New Roman"/>
          <w:color w:val="000000"/>
          <w:sz w:val="24"/>
          <w:u w:val="single"/>
        </w:rPr>
        <w:t>Section 3.04</w:t>
      </w:r>
      <w:r>
        <w:rPr>
          <w:rFonts w:ascii="Times New Roman" w:hAnsi="Times New Roman"/>
          <w:color w:val="000000"/>
          <w:sz w:val="24"/>
        </w:rPr>
        <w:t xml:space="preserve"> including, without limitation, entering into agreements and delivering certificates and instruments and consents as may be deemed necessary or appropriate.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3.05 </w:t>
      </w:r>
      <w:r>
        <w:rPr>
          <w:rFonts w:ascii="Times New Roman" w:hAnsi="Times New Roman"/>
          <w:b w:val="false"/>
          <w:color w:val="000000"/>
          <w:sz w:val="24"/>
          <w:u w:val="single"/>
        </w:rPr>
        <w:t>Preemptive Rights.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Subject to the provisions of this </w:t>
      </w:r>
      <w:r>
        <w:rPr>
          <w:rFonts w:ascii="Times New Roman" w:hAnsi="Times New Roman"/>
          <w:color w:val="000000"/>
          <w:sz w:val="24"/>
          <w:u w:val="single"/>
        </w:rPr>
        <w:t>Section 3.05</w:t>
      </w:r>
      <w:r>
        <w:rPr>
          <w:rFonts w:ascii="Times New Roman" w:hAnsi="Times New Roman"/>
          <w:color w:val="000000"/>
          <w:sz w:val="24"/>
        </w:rPr>
        <w:t xml:space="preserve">, in the event the Company proposes to sell or issue any equity Securities (other than Preferred Units issued in connection with any Additional Equity Financing to which </w:t>
      </w:r>
      <w:r>
        <w:rPr>
          <w:rFonts w:ascii="Times New Roman" w:hAnsi="Times New Roman"/>
          <w:color w:val="000000"/>
          <w:sz w:val="24"/>
          <w:u w:val="single"/>
        </w:rPr>
        <w:t>Section 3.04</w:t>
      </w:r>
      <w:r>
        <w:rPr>
          <w:rFonts w:ascii="Times New Roman" w:hAnsi="Times New Roman"/>
          <w:color w:val="000000"/>
          <w:sz w:val="24"/>
        </w:rPr>
        <w:t xml:space="preserve"> applies), including any rights that may become convertible into or exchangeable or exercisable for any such equity Security (collectively, the “</w:t>
      </w:r>
      <w:r>
        <w:rPr>
          <w:rFonts w:ascii="Times New Roman" w:hAnsi="Times New Roman"/>
          <w:b/>
          <w:color w:val="000000"/>
          <w:sz w:val="24"/>
          <w:u w:val="single"/>
        </w:rPr>
        <w:t>Subject Securities</w:t>
      </w:r>
      <w:r>
        <w:rPr>
          <w:rFonts w:ascii="Times New Roman" w:hAnsi="Times New Roman"/>
          <w:color w:val="000000"/>
          <w:sz w:val="24"/>
        </w:rPr>
        <w:t xml:space="preserve">”), to any third party (including in connection with any Additional Equity Financing), the Investor Member shall have the right to purchase from the Company, during a reasonable time to be fixed by the Board of Managers (which will not be less than thirty (30) days), in the Investor Member’s sole discretion, either such number of Subject Securities or such number of Series A Preferred Units, Series A1 Preferred Units, Series B Preferred Units and/or Series B1 Preferred Units equal to (i) the number of Subject Securities proposed to be sold or issued by the Company, </w:t>
      </w:r>
      <w:r>
        <w:rPr>
          <w:rFonts w:ascii="Times New Roman" w:hAnsi="Times New Roman"/>
          <w:i/>
          <w:color w:val="000000"/>
          <w:sz w:val="24"/>
        </w:rPr>
        <w:t>multiplied by</w:t>
      </w:r>
      <w:r>
        <w:rPr>
          <w:rFonts w:ascii="Times New Roman" w:hAnsi="Times New Roman"/>
          <w:color w:val="000000"/>
          <w:sz w:val="24"/>
        </w:rPr>
        <w:t xml:space="preserve"> (ii) a fraction, expressed as a percentage, the numerator of which is equal to the number of Units held by the Investor Member and its Affiliates prior to such sale or issuance (on an as-converted to Common Unit basis), and the denominator of which is the aggregate number of issued and outstanding Units of the Company (on an as-converted to Common Unit basis) (and assuming, for purposes of this clause (ii), that the Series A/A1 Preferred Units are convertible into Common Units in the same manner that the Series B/B1 Preferred Units are convertible into Common Units pursuant to </w:t>
      </w:r>
      <w:r>
        <w:rPr>
          <w:rFonts w:ascii="Times New Roman" w:hAnsi="Times New Roman"/>
          <w:color w:val="000000"/>
          <w:sz w:val="24"/>
          <w:u w:val="single"/>
        </w:rPr>
        <w:t>Section 3.08(a)</w:t>
      </w:r>
      <w:r>
        <w:rPr>
          <w:rFonts w:ascii="Times New Roman" w:hAnsi="Times New Roman"/>
          <w:color w:val="000000"/>
          <w:sz w:val="24"/>
        </w:rPr>
        <w:t xml:space="preserve">). The Subject Securities or Preferred Units purchased by the Investor Member pursuant to this </w:t>
      </w:r>
      <w:r>
        <w:rPr>
          <w:rFonts w:ascii="Times New Roman" w:hAnsi="Times New Roman"/>
          <w:color w:val="000000"/>
          <w:sz w:val="24"/>
          <w:u w:val="single"/>
        </w:rPr>
        <w:t>Section 3.05</w:t>
      </w:r>
      <w:r>
        <w:rPr>
          <w:rFonts w:ascii="Times New Roman" w:hAnsi="Times New Roman"/>
          <w:color w:val="000000"/>
          <w:sz w:val="24"/>
        </w:rPr>
        <w:t xml:space="preserve"> shall be purchased at a price and on other terms not less favorable to the Investor Member than the price and other terms at which such Subject Securities are proposed to be offered for sale or issuance to the third party.</w:t>
      </w:r>
    </w:p>
    <w:p>
      <w:pPr>
        <w:pStyle w:val="TextBody"/>
        <w:bidi w:val="0"/>
        <w:spacing w:before="0" w:after="240"/>
        <w:jc w:val="both"/>
        <w:rPr>
          <w:rFonts w:ascii="Times New Roman" w:hAnsi="Times New Roman"/>
          <w:sz w:val="24"/>
        </w:rPr>
      </w:pPr>
      <w:r>
        <w:rPr>
          <w:rFonts w:ascii="Times New Roman" w:hAnsi="Times New Roman"/>
          <w:color w:val="000000"/>
          <w:sz w:val="24"/>
        </w:rPr>
        <w:t>(b) The Company will provide written notice (the “</w:t>
      </w:r>
      <w:r>
        <w:rPr>
          <w:rFonts w:ascii="Times New Roman" w:hAnsi="Times New Roman"/>
          <w:b/>
          <w:color w:val="000000"/>
          <w:sz w:val="24"/>
          <w:u w:val="single"/>
        </w:rPr>
        <w:t>Issuance Notice</w:t>
      </w:r>
      <w:r>
        <w:rPr>
          <w:rFonts w:ascii="Times New Roman" w:hAnsi="Times New Roman"/>
          <w:color w:val="000000"/>
          <w:sz w:val="24"/>
        </w:rPr>
        <w:t xml:space="preserve">”) to the Investor Member in accordance with this </w:t>
      </w:r>
      <w:r>
        <w:rPr>
          <w:rFonts w:ascii="Times New Roman" w:hAnsi="Times New Roman"/>
          <w:color w:val="000000"/>
          <w:sz w:val="24"/>
          <w:u w:val="single"/>
        </w:rPr>
        <w:t xml:space="preserve">Section 3.05 </w:t>
      </w:r>
      <w:r>
        <w:rPr>
          <w:rFonts w:ascii="Times New Roman" w:hAnsi="Times New Roman"/>
          <w:color w:val="000000"/>
          <w:sz w:val="24"/>
        </w:rPr>
        <w:t xml:space="preserve">setting forth the time within which, and the price and other material terms and conditions upon which, the Investor Member may purchase such Subject Securities or Preferred Units. Any Subject Securities that the Company proposes to issue or sell </w:t>
      </w:r>
      <w:r>
        <w:rPr>
          <w:rFonts w:ascii="Times New Roman" w:hAnsi="Times New Roman"/>
          <w:i/>
          <w:color w:val="000000"/>
          <w:sz w:val="24"/>
          <w:u w:val="single"/>
        </w:rPr>
        <w:t>less</w:t>
      </w:r>
      <w:r>
        <w:rPr>
          <w:rFonts w:ascii="Times New Roman" w:hAnsi="Times New Roman"/>
          <w:color w:val="000000"/>
          <w:sz w:val="24"/>
        </w:rPr>
        <w:t xml:space="preserve"> the number of Subject Securities or Preferred Units purchased by the Investor Member pursuant to this </w:t>
      </w:r>
      <w:r>
        <w:rPr>
          <w:rFonts w:ascii="Times New Roman" w:hAnsi="Times New Roman"/>
          <w:color w:val="000000"/>
          <w:sz w:val="24"/>
          <w:u w:val="single"/>
        </w:rPr>
        <w:t>Section 3.05</w:t>
      </w:r>
      <w:r>
        <w:rPr>
          <w:rFonts w:ascii="Times New Roman" w:hAnsi="Times New Roman"/>
          <w:color w:val="000000"/>
          <w:sz w:val="24"/>
        </w:rPr>
        <w:t xml:space="preserve">, may be issued or sold by the Company to any third party within ninety (90) days after the expiration of the period during which the Investor Member shall have the preemptive right to purchase, but the Company shall not sell or issue any such Subject Securities after such 90-day period without again complying with this </w:t>
      </w:r>
      <w:r>
        <w:rPr>
          <w:rFonts w:ascii="Times New Roman" w:hAnsi="Times New Roman"/>
          <w:color w:val="000000"/>
          <w:sz w:val="24"/>
          <w:u w:val="single"/>
        </w:rPr>
        <w:t>Section 3.05</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The closing of any sale or issuance of Subject Securities or Preferred Units (as applicable) to the Investor Member pursuant to this </w:t>
      </w:r>
      <w:r>
        <w:rPr>
          <w:rFonts w:ascii="Times New Roman" w:hAnsi="Times New Roman"/>
          <w:color w:val="000000"/>
          <w:sz w:val="24"/>
          <w:u w:val="single"/>
        </w:rPr>
        <w:t>Section 3.05</w:t>
      </w:r>
      <w:r>
        <w:rPr>
          <w:rFonts w:ascii="Times New Roman" w:hAnsi="Times New Roman"/>
          <w:color w:val="000000"/>
          <w:sz w:val="24"/>
        </w:rPr>
        <w:t xml:space="preserve"> shall take place at the time and in the manner provided in the Issuance Notice. The Company shall be under no obligation to consummate any proposed sale or issuance of Subject Securities, nor shall there be any liability on the part of the Company to the Investor Member, if the Company has not consummated any proposed sale or issuance of Subject Securities pursuant to this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Section 3.05</w:t>
      </w:r>
      <w:r>
        <w:rPr>
          <w:rFonts w:ascii="Times New Roman" w:hAnsi="Times New Roman"/>
          <w:color w:val="000000"/>
          <w:sz w:val="24"/>
        </w:rPr>
        <w:t xml:space="preserve"> for any reason whatsoever, regardless of whether it shall have delivered an Issuance Notice in respect of such proposed issuance.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3.06 </w:t>
      </w:r>
      <w:r>
        <w:rPr>
          <w:rFonts w:ascii="Times New Roman" w:hAnsi="Times New Roman"/>
          <w:b w:val="false"/>
          <w:color w:val="000000"/>
          <w:sz w:val="24"/>
          <w:u w:val="single"/>
        </w:rPr>
        <w:t>Interest Payments</w:t>
      </w:r>
      <w:r>
        <w:rPr>
          <w:rFonts w:ascii="Times New Roman" w:hAnsi="Times New Roman"/>
          <w:b w:val="false"/>
          <w:color w:val="000000"/>
          <w:sz w:val="24"/>
        </w:rPr>
        <w:t>. No interest shall be paid to any Member on any Capital Contributions. All Capital Contributions shall be denominated in U.S. dollars.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3.07 </w:t>
      </w:r>
      <w:r>
        <w:rPr>
          <w:rFonts w:ascii="Times New Roman" w:hAnsi="Times New Roman"/>
          <w:b w:val="false"/>
          <w:color w:val="000000"/>
          <w:sz w:val="24"/>
          <w:u w:val="single"/>
        </w:rPr>
        <w:t>Ownership and Issuance of Units; Ranking.</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Series A Preferred Units</w:t>
      </w:r>
      <w:r>
        <w:rPr>
          <w:rFonts w:ascii="Times New Roman" w:hAnsi="Times New Roman"/>
          <w:color w:val="000000"/>
          <w:sz w:val="24"/>
        </w:rPr>
        <w:t>. The Company has issued Series A Preferred Units (the “</w:t>
      </w:r>
      <w:r>
        <w:rPr>
          <w:rFonts w:ascii="Times New Roman" w:hAnsi="Times New Roman"/>
          <w:b/>
          <w:color w:val="000000"/>
          <w:sz w:val="24"/>
          <w:u w:val="single"/>
        </w:rPr>
        <w:t>Series A Preferred Units</w:t>
      </w:r>
      <w:r>
        <w:rPr>
          <w:rFonts w:ascii="Times New Roman" w:hAnsi="Times New Roman"/>
          <w:color w:val="000000"/>
          <w:sz w:val="24"/>
        </w:rPr>
        <w:t xml:space="preserve">”) to the Investor Member in respect of the Series A Preferred Interest of the Investor Member. As of the date hereof (after giving effect to the transactions contemplated by Purchase Agreement), </w:t>
      </w:r>
      <w:r>
        <w:rPr>
          <w:rFonts w:ascii="Times New Roman" w:hAnsi="Times New Roman"/>
          <w:color w:val="000000"/>
          <w:sz w:val="24"/>
          <w:u w:val="single"/>
        </w:rPr>
        <w:t>SCHEDULE A</w:t>
      </w:r>
      <w:r>
        <w:rPr>
          <w:rFonts w:ascii="Times New Roman" w:hAnsi="Times New Roman"/>
          <w:color w:val="000000"/>
          <w:sz w:val="24"/>
        </w:rPr>
        <w:t xml:space="preserve"> sets forth the number of Series A Preferred Units owned by the Investor Member. Subject to </w:t>
      </w:r>
      <w:r>
        <w:rPr>
          <w:rFonts w:ascii="Times New Roman" w:hAnsi="Times New Roman"/>
          <w:color w:val="000000"/>
          <w:sz w:val="24"/>
          <w:u w:val="single"/>
        </w:rPr>
        <w:t>Section 3.09(b)</w:t>
      </w:r>
      <w:r>
        <w:rPr>
          <w:rFonts w:ascii="Times New Roman" w:hAnsi="Times New Roman"/>
          <w:color w:val="000000"/>
          <w:sz w:val="24"/>
        </w:rPr>
        <w:t xml:space="preserve"> and the other provisions of this Agreement, the Board of Managers may update </w:t>
      </w:r>
      <w:r>
        <w:rPr>
          <w:rFonts w:ascii="Times New Roman" w:hAnsi="Times New Roman"/>
          <w:color w:val="000000"/>
          <w:sz w:val="24"/>
          <w:u w:val="single"/>
        </w:rPr>
        <w:t>SCHEDULE A</w:t>
      </w:r>
      <w:r>
        <w:rPr>
          <w:rFonts w:ascii="Times New Roman" w:hAnsi="Times New Roman"/>
          <w:color w:val="000000"/>
          <w:sz w:val="24"/>
        </w:rPr>
        <w:t xml:space="preserve"> from time to time to reflect any sales, issuances or Transfers of Series A Preferred Units. The Series A Preferred Units rank (i) pari passu with the Series A1 Preferred Units, (ii) senior to the Series B Preferred Units, Series B1 Preferred Units, the Common Units and all other equity Securities of the Company (other than the Series A1 Preferred Units), including with respect to distribution and liquidation rights, and (iii) junior to all secured and unsecured Indebtedness of the Company. Except as expressly set forth herein, (A) the Series A Preferred Units shall have the same rights, interests, obligations, preferences and privileges as the Series A1 Preferred Units, and (B) the Series A Preferred Units and Series A1 Preferred Units shall be considered the same class of Units.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Series A1 Preferred Units</w:t>
      </w:r>
      <w:r>
        <w:rPr>
          <w:rFonts w:ascii="Times New Roman" w:hAnsi="Times New Roman"/>
          <w:color w:val="000000"/>
          <w:sz w:val="24"/>
        </w:rPr>
        <w:t>. The Company has issued Series A1 Preferred Units (the “</w:t>
      </w:r>
      <w:r>
        <w:rPr>
          <w:rFonts w:ascii="Times New Roman" w:hAnsi="Times New Roman"/>
          <w:b/>
          <w:color w:val="000000"/>
          <w:sz w:val="24"/>
          <w:u w:val="single"/>
        </w:rPr>
        <w:t>Series A1 Preferred Units</w:t>
      </w:r>
      <w:r>
        <w:rPr>
          <w:rFonts w:ascii="Times New Roman" w:hAnsi="Times New Roman"/>
          <w:color w:val="000000"/>
          <w:sz w:val="24"/>
        </w:rPr>
        <w:t xml:space="preserve">”) to the Investor Member in respect of the Series A1 Preferred Interest of the Investor Member. As of the date hereof (after giving effect to the transactions contemplated by Purchase Agreement), </w:t>
      </w:r>
      <w:r>
        <w:rPr>
          <w:rFonts w:ascii="Times New Roman" w:hAnsi="Times New Roman"/>
          <w:color w:val="000000"/>
          <w:sz w:val="24"/>
          <w:u w:val="single"/>
        </w:rPr>
        <w:t>SCHEDULE A</w:t>
      </w:r>
      <w:r>
        <w:rPr>
          <w:rFonts w:ascii="Times New Roman" w:hAnsi="Times New Roman"/>
          <w:color w:val="000000"/>
          <w:sz w:val="24"/>
        </w:rPr>
        <w:t xml:space="preserve"> sets forth the number of Series A1 Preferred Units owned by the Investor Member. Subject to </w:t>
      </w:r>
      <w:r>
        <w:rPr>
          <w:rFonts w:ascii="Times New Roman" w:hAnsi="Times New Roman"/>
          <w:color w:val="000000"/>
          <w:sz w:val="24"/>
          <w:u w:val="single"/>
        </w:rPr>
        <w:t>Section 3.09(b)</w:t>
      </w:r>
      <w:r>
        <w:rPr>
          <w:rFonts w:ascii="Times New Roman" w:hAnsi="Times New Roman"/>
          <w:color w:val="000000"/>
          <w:sz w:val="24"/>
        </w:rPr>
        <w:t xml:space="preserve"> and the other provisions of this Agreement, the Board of Managers may update </w:t>
      </w:r>
      <w:r>
        <w:rPr>
          <w:rFonts w:ascii="Times New Roman" w:hAnsi="Times New Roman"/>
          <w:color w:val="000000"/>
          <w:sz w:val="24"/>
          <w:u w:val="single"/>
        </w:rPr>
        <w:t>SCHEDULE A</w:t>
      </w:r>
      <w:r>
        <w:rPr>
          <w:rFonts w:ascii="Times New Roman" w:hAnsi="Times New Roman"/>
          <w:color w:val="000000"/>
          <w:sz w:val="24"/>
        </w:rPr>
        <w:t xml:space="preserve"> from time to time to reflect any sales, issuances or Transfers of Series A1 Preferred Units. The Series A1 Preferred Units rank (i) pari passu with the Series A Preferred Units, (ii) senior to the Series B Preferred Units, Series B1 Preferred Units, the Common Units and all other equity Securities of the Company (other than the Series A Preferred Units), including with respect to distribution and liquidation rights, and (iii) junior to all secured and unsecured Indebtedness of the Company. Except as expressly set forth herein, (A) the Series A1 Preferred Units shall have the same rights, interests, obligations, preferences and privileges as the Series A Preferred Units, and (B) the Series A Preferred Units and Series A1 Preferred Units shall be considered the same class of Units.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Series B Preferred Units</w:t>
      </w:r>
      <w:r>
        <w:rPr>
          <w:rFonts w:ascii="Times New Roman" w:hAnsi="Times New Roman"/>
          <w:color w:val="000000"/>
          <w:sz w:val="24"/>
        </w:rPr>
        <w:t>. The Company has issued Series B Preferred Units (the “</w:t>
      </w:r>
      <w:r>
        <w:rPr>
          <w:rFonts w:ascii="Times New Roman" w:hAnsi="Times New Roman"/>
          <w:b/>
          <w:color w:val="000000"/>
          <w:sz w:val="24"/>
          <w:u w:val="single"/>
        </w:rPr>
        <w:t>Series B Preferred Units</w:t>
      </w:r>
      <w:r>
        <w:rPr>
          <w:rFonts w:ascii="Times New Roman" w:hAnsi="Times New Roman"/>
          <w:color w:val="000000"/>
          <w:sz w:val="24"/>
        </w:rPr>
        <w:t xml:space="preserve">”) to the Investor Member in respect of the Series B Preferred Interest of the Investor Member. As of the date hereof (after giving effect to the transactions contemplated by Purchase Agreement), </w:t>
      </w:r>
      <w:r>
        <w:rPr>
          <w:rFonts w:ascii="Times New Roman" w:hAnsi="Times New Roman"/>
          <w:color w:val="000000"/>
          <w:sz w:val="24"/>
          <w:u w:val="single"/>
        </w:rPr>
        <w:t>SCHEDULE A</w:t>
      </w:r>
      <w:r>
        <w:rPr>
          <w:rFonts w:ascii="Times New Roman" w:hAnsi="Times New Roman"/>
          <w:color w:val="000000"/>
          <w:sz w:val="24"/>
        </w:rPr>
        <w:t xml:space="preserve"> sets forth the number of Series B Preferred Units owned by the Investor Member. Subject to </w:t>
      </w:r>
      <w:r>
        <w:rPr>
          <w:rFonts w:ascii="Times New Roman" w:hAnsi="Times New Roman"/>
          <w:color w:val="000000"/>
          <w:sz w:val="24"/>
          <w:u w:val="single"/>
        </w:rPr>
        <w:t>Section 3.09(b)</w:t>
      </w:r>
      <w:r>
        <w:rPr>
          <w:rFonts w:ascii="Times New Roman" w:hAnsi="Times New Roman"/>
          <w:color w:val="000000"/>
          <w:sz w:val="24"/>
        </w:rPr>
        <w:t xml:space="preserve"> and the other provisions of this Agreement, the Board of Managers may update </w:t>
      </w:r>
      <w:r>
        <w:rPr>
          <w:rFonts w:ascii="Times New Roman" w:hAnsi="Times New Roman"/>
          <w:color w:val="000000"/>
          <w:sz w:val="24"/>
          <w:u w:val="single"/>
        </w:rPr>
        <w:t>SCHEDULE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w:t>
      </w:r>
      <w:r>
        <w:rPr>
          <w:rFonts w:ascii="Times New Roman" w:hAnsi="Times New Roman"/>
          <w:color w:val="000000"/>
          <w:sz w:val="24"/>
        </w:rPr>
        <w:t xml:space="preserve"> from time to time to reflect any sales, issuances or Transfers of Series B Preferred Units. The Series B Preferred Units rank (i) pari passu with the Series B1 Preferred Units, (ii) senior to the Common Units and all other equity Securities of the Company (other than the Series A Preferred Units, Series A1 Preferred Units and Series B1 Preferred Units), including with respect to distribution and liquidation rights, (iii) junior to the Series A Preferred Units and Series A1 Preferred Units, including with respect to distribution and liquidation rights, and (iv) junior to all secured and unsecured Indebtedness of the Company. Except as expressly set forth herein, (A) the Series B Preferred Units shall have the same rights, interests, obligations, preferences and privileges as the Series B1 Preferred Units, and (B) the Series B Preferred Units and Series B1 Preferred Units shall be considered the same class of Units.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Series B1 Preferred Units</w:t>
      </w:r>
      <w:r>
        <w:rPr>
          <w:rFonts w:ascii="Times New Roman" w:hAnsi="Times New Roman"/>
          <w:color w:val="000000"/>
          <w:sz w:val="24"/>
        </w:rPr>
        <w:t>. The Company has issued Series B1 Preferred Units (the “</w:t>
      </w:r>
      <w:r>
        <w:rPr>
          <w:rFonts w:ascii="Times New Roman" w:hAnsi="Times New Roman"/>
          <w:b/>
          <w:color w:val="000000"/>
          <w:sz w:val="24"/>
          <w:u w:val="single"/>
        </w:rPr>
        <w:t>Series B1 Preferred Units</w:t>
      </w:r>
      <w:r>
        <w:rPr>
          <w:rFonts w:ascii="Times New Roman" w:hAnsi="Times New Roman"/>
          <w:color w:val="000000"/>
          <w:sz w:val="24"/>
        </w:rPr>
        <w:t xml:space="preserve">”) to the Investor Member in respect of the Series B1 Preferred Interest of the Investor Member. As of the date hereof (after giving effect to the transactions contemplated by Purchase Agreement), </w:t>
      </w:r>
      <w:r>
        <w:rPr>
          <w:rFonts w:ascii="Times New Roman" w:hAnsi="Times New Roman"/>
          <w:color w:val="000000"/>
          <w:sz w:val="24"/>
          <w:u w:val="single"/>
        </w:rPr>
        <w:t>SCHEDULE A</w:t>
      </w:r>
      <w:r>
        <w:rPr>
          <w:rFonts w:ascii="Times New Roman" w:hAnsi="Times New Roman"/>
          <w:color w:val="000000"/>
          <w:sz w:val="24"/>
        </w:rPr>
        <w:t xml:space="preserve"> sets forth the number of Series B1 Preferred Units owned by the Investor Member. Subject to </w:t>
      </w:r>
      <w:r>
        <w:rPr>
          <w:rFonts w:ascii="Times New Roman" w:hAnsi="Times New Roman"/>
          <w:color w:val="000000"/>
          <w:sz w:val="24"/>
          <w:u w:val="single"/>
        </w:rPr>
        <w:t>Section 3.09(b)</w:t>
      </w:r>
      <w:r>
        <w:rPr>
          <w:rFonts w:ascii="Times New Roman" w:hAnsi="Times New Roman"/>
          <w:color w:val="000000"/>
          <w:sz w:val="24"/>
        </w:rPr>
        <w:t xml:space="preserve"> and the other provisions of this Agreement, the Board of Managers may update </w:t>
      </w:r>
      <w:r>
        <w:rPr>
          <w:rFonts w:ascii="Times New Roman" w:hAnsi="Times New Roman"/>
          <w:color w:val="000000"/>
          <w:sz w:val="24"/>
          <w:u w:val="single"/>
        </w:rPr>
        <w:t>SCHEDULE A</w:t>
      </w:r>
      <w:r>
        <w:rPr>
          <w:rFonts w:ascii="Times New Roman" w:hAnsi="Times New Roman"/>
          <w:color w:val="000000"/>
          <w:sz w:val="24"/>
        </w:rPr>
        <w:t xml:space="preserve"> from time to time to reflect any sales, issuances or Transfers of Series B1 Preferred Units. The Series B1 Preferred Units rank (i) pari passu with the Series B Preferred Units, (ii) senior to the Common Units and all other equity Securities of the Company (other than the Series A Preferred Units, Series A1 Preferred Units and Series B Preferred Units), including with respect to distribution and liquidation rights, (iii) junior to the Series A Preferred Units and Series A1 Preferred Units, including with respect to distribution and liquidation rights, and (iv) junior to all secured and unsecured Indebtedness of the Company. Except as expressly set forth herein, (A) the Series B1 Preferred Units shall have the same rights, interests, obligations, preferences and privileges as the Series B Preferred Units, and (B) the Series B Preferred Units and Series B1 Preferred Units shall be considered the same class of Units.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Common Units</w:t>
      </w:r>
      <w:r>
        <w:rPr>
          <w:rFonts w:ascii="Times New Roman" w:hAnsi="Times New Roman"/>
          <w:color w:val="000000"/>
          <w:sz w:val="24"/>
        </w:rPr>
        <w:t>. The Company has issued common units (the “</w:t>
      </w:r>
      <w:r>
        <w:rPr>
          <w:rFonts w:ascii="Times New Roman" w:hAnsi="Times New Roman"/>
          <w:b/>
          <w:color w:val="000000"/>
          <w:sz w:val="24"/>
          <w:u w:val="single"/>
        </w:rPr>
        <w:t>Common Units</w:t>
      </w:r>
      <w:r>
        <w:rPr>
          <w:rFonts w:ascii="Times New Roman" w:hAnsi="Times New Roman"/>
          <w:color w:val="000000"/>
          <w:sz w:val="24"/>
        </w:rPr>
        <w:t xml:space="preserve">”) to the Common Members in respect of the Common Interest of such Common Member. As of the date hereof, </w:t>
      </w:r>
      <w:r>
        <w:rPr>
          <w:rFonts w:ascii="Times New Roman" w:hAnsi="Times New Roman"/>
          <w:color w:val="000000"/>
          <w:sz w:val="24"/>
          <w:u w:val="single"/>
        </w:rPr>
        <w:t>SCHEDULE A</w:t>
      </w:r>
      <w:r>
        <w:rPr>
          <w:rFonts w:ascii="Times New Roman" w:hAnsi="Times New Roman"/>
          <w:color w:val="000000"/>
          <w:sz w:val="24"/>
        </w:rPr>
        <w:t xml:space="preserve"> sets forth a list of all of the Common Members and the number of Common Units owned by such Common Member. Subject to </w:t>
      </w:r>
      <w:r>
        <w:rPr>
          <w:rFonts w:ascii="Times New Roman" w:hAnsi="Times New Roman"/>
          <w:color w:val="000000"/>
          <w:sz w:val="24"/>
          <w:u w:val="single"/>
        </w:rPr>
        <w:t>Section 3.09(b)</w:t>
      </w:r>
      <w:r>
        <w:rPr>
          <w:rFonts w:ascii="Times New Roman" w:hAnsi="Times New Roman"/>
          <w:color w:val="000000"/>
          <w:sz w:val="24"/>
        </w:rPr>
        <w:t xml:space="preserve"> and the other provisions of this Agreement, the Board of Managers may update </w:t>
      </w:r>
      <w:r>
        <w:rPr>
          <w:rFonts w:ascii="Times New Roman" w:hAnsi="Times New Roman"/>
          <w:color w:val="000000"/>
          <w:sz w:val="24"/>
          <w:u w:val="single"/>
        </w:rPr>
        <w:t>SCHEDULE A</w:t>
      </w:r>
      <w:r>
        <w:rPr>
          <w:rFonts w:ascii="Times New Roman" w:hAnsi="Times New Roman"/>
          <w:color w:val="000000"/>
          <w:sz w:val="24"/>
        </w:rPr>
        <w:t xml:space="preserve"> from time to time to reflect any sales, issuances or Transfers of Common Units. The Common Units rank junior to all Preferred Units (including with respect to distribution and liquidation rights) and junior to all secured and unsecured Indebtedness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Subject to </w:t>
      </w:r>
      <w:r>
        <w:rPr>
          <w:rFonts w:ascii="Times New Roman" w:hAnsi="Times New Roman"/>
          <w:color w:val="000000"/>
          <w:sz w:val="24"/>
          <w:u w:val="single"/>
        </w:rPr>
        <w:t>Section 3.09(b)</w:t>
      </w:r>
      <w:r>
        <w:rPr>
          <w:rFonts w:ascii="Times New Roman" w:hAnsi="Times New Roman"/>
          <w:color w:val="000000"/>
          <w:sz w:val="24"/>
        </w:rPr>
        <w:t xml:space="preserve"> and the other provisions of this Agreement, the Board of Managers may issue an unlimited number of Series A Preferred Units, Series A1 Preferred Units, Series B Preferred Units, Series B1 Preferred Units, Common Units or other equity Securities.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(g) Units shall be issued in non-certificated form;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any Member may request that the Company issue physical or electronic certificates to such Member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representing the Units held by such Member. Upon request by a Member for issuance of Units in certificated form in accordance with the provisions of this Agreement, without any further act, vote or approval of any Member, Manager or any other Person, the Company shall issue one or more certificates in the name of such Member, which evidences the ownership of the Units of such Member. Each such certificate shall be denominated in terms of the number of the Units evidenced by such certificate and shall be signed by an officer or other authorized signatory on behalf of the Company.</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3.08 </w:t>
      </w:r>
      <w:r>
        <w:rPr>
          <w:rFonts w:ascii="Times New Roman" w:hAnsi="Times New Roman"/>
          <w:b w:val="false"/>
          <w:color w:val="000000"/>
          <w:sz w:val="24"/>
          <w:u w:val="single"/>
        </w:rPr>
        <w:t>Conversion Rights.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Optional Conversion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(i) The Investor Member, upon delivery of a written notice to the Company (the “</w:t>
      </w:r>
      <w:r>
        <w:rPr>
          <w:rFonts w:ascii="Times New Roman" w:hAnsi="Times New Roman"/>
          <w:b/>
          <w:color w:val="000000"/>
          <w:sz w:val="24"/>
          <w:u w:val="single"/>
        </w:rPr>
        <w:t>Optional Conversion Notice</w:t>
      </w:r>
      <w:r>
        <w:rPr>
          <w:rFonts w:ascii="Times New Roman" w:hAnsi="Times New Roman"/>
          <w:color w:val="000000"/>
          <w:sz w:val="24"/>
        </w:rPr>
        <w:t xml:space="preserve">”) and without the payment of any additional consideration, may elect to convert all or a portion of the Series B/B1 Preferred Units held by the Investor Member and its Affiliates, at any time and from time to time, into Common Units in accordance with the terms and conditions set forth in this </w:t>
      </w:r>
      <w:r>
        <w:rPr>
          <w:rFonts w:ascii="Times New Roman" w:hAnsi="Times New Roman"/>
          <w:color w:val="000000"/>
          <w:sz w:val="24"/>
          <w:u w:val="single"/>
        </w:rPr>
        <w:t>Section 3.08(a)</w:t>
      </w:r>
      <w:r>
        <w:rPr>
          <w:rFonts w:ascii="Times New Roman" w:hAnsi="Times New Roman"/>
          <w:color w:val="000000"/>
          <w:sz w:val="24"/>
        </w:rPr>
        <w:t xml:space="preserve"> (a “</w:t>
      </w:r>
      <w:r>
        <w:rPr>
          <w:rFonts w:ascii="Times New Roman" w:hAnsi="Times New Roman"/>
          <w:b/>
          <w:color w:val="000000"/>
          <w:sz w:val="24"/>
          <w:u w:val="single"/>
        </w:rPr>
        <w:t>Series B/B1 Optional Conversion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(ii) Any Series B/B1 Optional Conversion shall be effective five (5) Business Days following delivery by the Investor Member to the Company of the Optional Conversion Notice (the “</w:t>
      </w:r>
      <w:r>
        <w:rPr>
          <w:rFonts w:ascii="Times New Roman" w:hAnsi="Times New Roman"/>
          <w:b/>
          <w:color w:val="000000"/>
          <w:sz w:val="24"/>
          <w:u w:val="single"/>
        </w:rPr>
        <w:t>Optional Conversion Time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(iii) At the Optional Conversion Time, with respect to the number of Series B/B1 Preferred Units specified in the Optional Conversion Notice, each such Series B/B1 Preferred Unit shall automatically and without the need for any further action by any Person be converted into such number of fully paid and non-assessable Common Units equal to (i) the then outstanding Liquidation Preference of such Series B/B1 Preferred Unit, </w:t>
      </w:r>
      <w:r>
        <w:rPr>
          <w:rFonts w:ascii="Times New Roman" w:hAnsi="Times New Roman"/>
          <w:i/>
          <w:color w:val="000000"/>
          <w:sz w:val="24"/>
          <w:u w:val="single"/>
        </w:rPr>
        <w:t>divided by</w:t>
      </w:r>
      <w:r>
        <w:rPr>
          <w:rFonts w:ascii="Times New Roman" w:hAnsi="Times New Roman"/>
          <w:color w:val="000000"/>
          <w:sz w:val="24"/>
        </w:rPr>
        <w:t xml:space="preserve"> (ii) the Fair Market Value of one (1) Common Unit as of immediately prior to the Optional Conversion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[Reserved].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No Future Series B/B1 Rights</w:t>
      </w:r>
      <w:r>
        <w:rPr>
          <w:rFonts w:ascii="Times New Roman" w:hAnsi="Times New Roman"/>
          <w:color w:val="000000"/>
          <w:sz w:val="24"/>
        </w:rPr>
        <w:t xml:space="preserve">. Each Series B/B1 Preferred Unit which shall have been surrendered pursuant to a Series B/B1 Optional Conversion or Series B/B1 Mandatory Conversion as herein provided shall be cancelled immediately upon conversion thereof and no longer be deemed to be outstanding and all rights, preferences and privileges (including, if any, the rights to vote and receive notices) with respect to such Series B/B1 Preferred Unit shall immediately cease and terminate in full as of the Optional Conversion Time or Mandatory Conversion Time (as applicable), except for (i) the right of the holders thereof to receive Common Units in exchange therefor, and (ii) the other rights and remedies of the Investor Member and its Affiliates specified in </w:t>
      </w:r>
      <w:r>
        <w:rPr>
          <w:rFonts w:ascii="Times New Roman" w:hAnsi="Times New Roman"/>
          <w:color w:val="000000"/>
          <w:sz w:val="24"/>
          <w:u w:val="single"/>
        </w:rPr>
        <w:t>Section 8.06(b)</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Reorganizations, Recapitalizations, Reclassifications, etc</w:t>
      </w:r>
      <w:r>
        <w:rPr>
          <w:rFonts w:ascii="Times New Roman" w:hAnsi="Times New Roman"/>
          <w:color w:val="000000"/>
          <w:sz w:val="24"/>
        </w:rPr>
        <w:t xml:space="preserve">. If there shall occur any reorganization, recapitalization, reclassification, consolidation or merger involving the Company in which the Common Units (but not the Series B Preferred Units or Series B1 Preferred Units) are converted into or exchanged for securities, cash or other property, then, following any such reorganization, recapitalization, reclassification,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consolidation or merger, each Series B/B1 Preferred Unit shall thereafter be convertible in lieu of the Common Unit into which it was convertible prior to such event into the kind and amount of securities, cash or other property which a holder of the number of Common Units issuable upon conversion of one Series B/B1 Preferred Unit immediately prior to such reorganization, recapitalization, reclassification, consolidation or merger would have been entitled to receive pursuant to such transaction; and, in such case, appropriate adjustment (as determined in good faith by the Board of Managers) shall be made in the application of the provisions in this </w:t>
      </w:r>
      <w:r>
        <w:rPr>
          <w:rFonts w:ascii="Times New Roman" w:hAnsi="Times New Roman"/>
          <w:color w:val="000000"/>
          <w:sz w:val="24"/>
          <w:u w:val="single"/>
        </w:rPr>
        <w:t>Section 3.08</w:t>
      </w:r>
      <w:r>
        <w:rPr>
          <w:rFonts w:ascii="Times New Roman" w:hAnsi="Times New Roman"/>
          <w:color w:val="000000"/>
          <w:sz w:val="24"/>
        </w:rPr>
        <w:t xml:space="preserve"> and </w:t>
      </w:r>
      <w:r>
        <w:rPr>
          <w:rFonts w:ascii="Times New Roman" w:hAnsi="Times New Roman"/>
          <w:color w:val="000000"/>
          <w:sz w:val="24"/>
          <w:u w:val="single"/>
        </w:rPr>
        <w:t>Section 8.06(b)</w:t>
      </w:r>
      <w:r>
        <w:rPr>
          <w:rFonts w:ascii="Times New Roman" w:hAnsi="Times New Roman"/>
          <w:color w:val="000000"/>
          <w:sz w:val="24"/>
        </w:rPr>
        <w:t xml:space="preserve"> with respect to the rights and interests thereafter of the holders of Series B/B1 Preferred Units, to the end that the provisions set forth in this </w:t>
      </w:r>
      <w:r>
        <w:rPr>
          <w:rFonts w:ascii="Times New Roman" w:hAnsi="Times New Roman"/>
          <w:color w:val="000000"/>
          <w:sz w:val="24"/>
          <w:u w:val="single"/>
        </w:rPr>
        <w:t>Section 3.08(d)</w:t>
      </w:r>
      <w:r>
        <w:rPr>
          <w:rFonts w:ascii="Times New Roman" w:hAnsi="Times New Roman"/>
          <w:color w:val="000000"/>
          <w:sz w:val="24"/>
        </w:rPr>
        <w:t xml:space="preserve"> shall thereafter be applicable, as nearly as reasonably may be, in relation to any securities or other property thereafter deliverable upon the conversion of the Series B/B1 Preferred Units.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Series A Conversion</w:t>
      </w:r>
      <w:r>
        <w:rPr>
          <w:rFonts w:ascii="Times New Roman" w:hAnsi="Times New Roman"/>
          <w:color w:val="000000"/>
          <w:sz w:val="24"/>
        </w:rPr>
        <w:t>. For the avoidance of doubt, the Series A Preferred Units and Series A1 Preferred Units shall not be convertible into Common Units.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3.09 </w:t>
      </w:r>
      <w:r>
        <w:rPr>
          <w:rFonts w:ascii="Times New Roman" w:hAnsi="Times New Roman"/>
          <w:b w:val="false"/>
          <w:color w:val="000000"/>
          <w:sz w:val="24"/>
          <w:u w:val="single"/>
        </w:rPr>
        <w:t>Voting Rights.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On any matter presented to the Members for their action or consideration at any meeting of the Members (or by written consent of the Members in lieu of a meeting), (i) each holder of Common Units shall have one (1) vote per Common Unit, (ii) each holder of Series B/B1 Preferred Units shall be entitled to cast the number of votes equal to the number of Common Units into which the Series B/B1 Preferred Units held by such holder are convertible (as provided in </w:t>
      </w:r>
      <w:r>
        <w:rPr>
          <w:rFonts w:ascii="Times New Roman" w:hAnsi="Times New Roman"/>
          <w:color w:val="000000"/>
          <w:sz w:val="24"/>
          <w:u w:val="single"/>
        </w:rPr>
        <w:t>Section 3.08(a)</w:t>
      </w:r>
      <w:r>
        <w:rPr>
          <w:rFonts w:ascii="Times New Roman" w:hAnsi="Times New Roman"/>
          <w:color w:val="000000"/>
          <w:sz w:val="24"/>
        </w:rPr>
        <w:t>) as of the record date for determining the Members entitled to vote on such matter, and (iii) notwithstanding any other provision of this Agreement, unless required by applicable Law, the Series A Preferred Units and Series A1 Preferred Units shall have no voting rights. Except as provided by law or by the other provisions of this Agreement, holders of Series B/B1 Preferred Units shall vote together with the holders of Common Units as a single class and on an as-converted to Common Unit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Notwithstanding anything to the contrary in this Agreement, for so long as the Investor Member or its Affiliates hold any Units, the Company and, solely with respect to clauses (vii), (x) and (xi) below, the Vroom Member, shall not, and the Company shall not permit any Subsidiary of the Company to, directly or indirectly, whether by amendment, merger, consolidation, reorganization, recapitalization, reclassification or otherwise, take any of the following actions without the prior consent of the Investor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enter into any material transaction, agreement, arrangement or understanding between or among (A) the Company or any of its Subsidiaries, on the one hand and (B) the Vroom Member or any of its Affiliates or any of its or their respective directors, managers, officers, employees, members, shareholders or equityholders, on the other hand (other than transactions existing as of the date hereof or expressly contemplated by this Agreement);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(ii) use Excess Cash to make any additional loans to UACC, unless the Permitted Asset Base is at least equal to the aggregate value of all Preferred Units issued by the Company (including the Series A Preferred Units, Series A1 Preferred Units, Series B Preferred Units and Series B1 Preferred Units);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waive, amend, modify, restate, repeal or make any other change (by amendment, merger, consolidation, operation of law or otherwise) to any provision of the Company’s or its Subsidiaries’ organizational documents (including the Certificate and this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(iv) create, issue or reclassify any Common Units, Preferred Units (including the Series A Preferred Units, the Series A1 Preferred Units, the Series B Preferred Units and the Series B1 Preferred Units) or other equity Securities (including any Securities convertible into or exercisable for the foregoing), other than in connection with a Permitted Asset Contribution in accordance with </w:t>
      </w:r>
      <w:r>
        <w:rPr>
          <w:rFonts w:ascii="Times New Roman" w:hAnsi="Times New Roman"/>
          <w:color w:val="000000"/>
          <w:sz w:val="24"/>
          <w:u w:val="single"/>
        </w:rPr>
        <w:t>Section 3.03(b)</w:t>
      </w:r>
      <w:r>
        <w:rPr>
          <w:rFonts w:ascii="Times New Roman" w:hAnsi="Times New Roman"/>
          <w:color w:val="000000"/>
          <w:sz w:val="24"/>
        </w:rPr>
        <w:t xml:space="preserve">, </w:t>
      </w:r>
      <w:r>
        <w:rPr>
          <w:rFonts w:ascii="Times New Roman" w:hAnsi="Times New Roman"/>
          <w:color w:val="000000"/>
          <w:sz w:val="24"/>
          <w:u w:val="single"/>
        </w:rPr>
        <w:t>Section 3.04</w:t>
      </w:r>
      <w:r>
        <w:rPr>
          <w:rFonts w:ascii="Times New Roman" w:hAnsi="Times New Roman"/>
          <w:color w:val="000000"/>
          <w:sz w:val="24"/>
        </w:rPr>
        <w:t xml:space="preserve"> and </w:t>
      </w:r>
      <w:r>
        <w:rPr>
          <w:rFonts w:ascii="Times New Roman" w:hAnsi="Times New Roman"/>
          <w:color w:val="000000"/>
          <w:sz w:val="24"/>
          <w:u w:val="single"/>
        </w:rPr>
        <w:t>Section 3.05</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(v) declare, pay or authorize any dividends or distributions on, or repurchase or redeem, any equity Securities (including the Common Units) that are junior to or </w:t>
      </w:r>
      <w:r>
        <w:rPr>
          <w:rFonts w:ascii="Times New Roman" w:hAnsi="Times New Roman"/>
          <w:i/>
          <w:color w:val="000000"/>
          <w:sz w:val="24"/>
        </w:rPr>
        <w:t>pari passu</w:t>
      </w:r>
      <w:r>
        <w:rPr>
          <w:rFonts w:ascii="Times New Roman" w:hAnsi="Times New Roman"/>
          <w:color w:val="000000"/>
          <w:sz w:val="24"/>
        </w:rPr>
        <w:t xml:space="preserve"> with the Series B/B1 Preferred Units, other than (A) as expressly contemplated by this Agreement, and (B) at a time when the Company would be permitted to distribute Excess Cash to the Common Members under </w:t>
      </w:r>
      <w:r>
        <w:rPr>
          <w:rFonts w:ascii="Times New Roman" w:hAnsi="Times New Roman"/>
          <w:color w:val="000000"/>
          <w:sz w:val="24"/>
          <w:u w:val="single"/>
        </w:rPr>
        <w:t>Section 5.02</w:t>
      </w:r>
      <w:r>
        <w:rPr>
          <w:rFonts w:ascii="Times New Roman" w:hAnsi="Times New Roman"/>
          <w:color w:val="000000"/>
          <w:sz w:val="24"/>
        </w:rPr>
        <w:t xml:space="preserve"> and </w:t>
      </w:r>
      <w:r>
        <w:rPr>
          <w:rFonts w:ascii="Times New Roman" w:hAnsi="Times New Roman"/>
          <w:color w:val="000000"/>
          <w:sz w:val="24"/>
          <w:u w:val="single"/>
        </w:rPr>
        <w:t>Section 5.03</w:t>
      </w:r>
      <w:r>
        <w:rPr>
          <w:rFonts w:ascii="Times New Roman" w:hAnsi="Times New Roman"/>
          <w:color w:val="000000"/>
          <w:sz w:val="24"/>
        </w:rPr>
        <w:t xml:space="preserve"> and, with respect to any repurchase or redemption, so long as the conditions set forth in </w:t>
      </w:r>
      <w:r>
        <w:rPr>
          <w:rFonts w:ascii="Times New Roman" w:hAnsi="Times New Roman"/>
          <w:color w:val="000000"/>
          <w:sz w:val="24"/>
          <w:u w:val="single"/>
        </w:rPr>
        <w:t>Section 5.03(b)(i)</w:t>
      </w:r>
      <w:r>
        <w:rPr>
          <w:rFonts w:ascii="Times New Roman" w:hAnsi="Times New Roman"/>
          <w:color w:val="000000"/>
          <w:sz w:val="24"/>
        </w:rPr>
        <w:t xml:space="preserve"> and </w:t>
      </w:r>
      <w:r>
        <w:rPr>
          <w:rFonts w:ascii="Times New Roman" w:hAnsi="Times New Roman"/>
          <w:color w:val="000000"/>
          <w:sz w:val="24"/>
          <w:u w:val="single"/>
        </w:rPr>
        <w:t>Section 5.03(b)(ii)</w:t>
      </w:r>
      <w:r>
        <w:rPr>
          <w:rFonts w:ascii="Times New Roman" w:hAnsi="Times New Roman"/>
          <w:color w:val="000000"/>
          <w:sz w:val="24"/>
        </w:rPr>
        <w:t xml:space="preserve"> are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incur or guarantee any Indebtedness, except for ordinary course Indebtedness not to exceed [***] in the aggregate at any time;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(vii) solely with respect to the Company, its Subsidiaries and the Vroom Member (for the avoidance of doubt, and notwithstanding any other provision of this Agreement to the contrary, excluding any action or transaction at the level of Vroom Parent or any of its direct or indirect owners), effect or consummate any Change of Control, Fundamental Event, Initial Public Offering or 382 Change Transaction (and any 382 Change Transaction that is effected or consummated in violation of this </w:t>
      </w:r>
      <w:r>
        <w:rPr>
          <w:rFonts w:ascii="Times New Roman" w:hAnsi="Times New Roman"/>
          <w:color w:val="000000"/>
          <w:sz w:val="24"/>
          <w:u w:val="single"/>
        </w:rPr>
        <w:t>Section 3.09(b)(vii)</w:t>
      </w:r>
      <w:r>
        <w:rPr>
          <w:rFonts w:ascii="Times New Roman" w:hAnsi="Times New Roman"/>
          <w:color w:val="000000"/>
          <w:sz w:val="24"/>
        </w:rPr>
        <w:t xml:space="preserve"> shall be null and void </w:t>
      </w:r>
      <w:r>
        <w:rPr>
          <w:rFonts w:ascii="Times New Roman" w:hAnsi="Times New Roman"/>
          <w:i/>
          <w:color w:val="000000"/>
          <w:sz w:val="24"/>
        </w:rPr>
        <w:t>ab initio</w:t>
      </w:r>
      <w:r>
        <w:rPr>
          <w:rFonts w:ascii="Times New Roman" w:hAnsi="Times New Roman"/>
          <w:color w:val="000000"/>
          <w:sz w:val="24"/>
        </w:rPr>
        <w:t xml:space="preserve"> unless, simultaneously with the consummation of such 382 Change Transaction, the Company redeems each Unit held by the Investor Member and its Affiliates in accordance with </w:t>
      </w:r>
      <w:r>
        <w:rPr>
          <w:rFonts w:ascii="Times New Roman" w:hAnsi="Times New Roman"/>
          <w:color w:val="000000"/>
          <w:sz w:val="24"/>
          <w:u w:val="single"/>
        </w:rPr>
        <w:t>Section 8.06(a)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increase or decrease the number of Managers on the Board of Managers;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approve or authorize any Insolvency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(x) take any action to liquidate, dissolve or wind-up the Vroom Member, the Company or any of the Company’s Subsidiaries;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change the tax classification of the Vroom Member, the Company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enter into or amend any tax sharing or similar agreement to which it is a party (excluding, for the avoidance of doubt, any commercial agreement the principal subject matter of which is not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enter into any new lines of business or engage in any business other than the Company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any material acquisition or divestiture of any business, entity, equity interests, property, assets or line of business (including via a merger, consolidation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grant, permit or allow any mortgage, assignment, security interest, pledge or other similar lien or encumbrance on any of its property or assets;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convert, domesticate, continue, redomicile or otherwise reorganize the Company or any of its Subsidiaries under the Laws of any jurisdiction other than its current jurisdiction of formation or organization, or otherwise take any action that would result in a change in the Company’s or such Subsidiary’s jurisdiction of formation or governing Law.</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3.10 </w:t>
      </w:r>
      <w:r>
        <w:rPr>
          <w:rFonts w:ascii="Times New Roman" w:hAnsi="Times New Roman"/>
          <w:b w:val="false"/>
          <w:color w:val="000000"/>
          <w:sz w:val="24"/>
          <w:u w:val="single"/>
        </w:rPr>
        <w:t>No Appraisal Rights</w:t>
      </w:r>
      <w:r>
        <w:rPr>
          <w:rFonts w:ascii="Times New Roman" w:hAnsi="Times New Roman"/>
          <w:b w:val="false"/>
          <w:color w:val="000000"/>
          <w:sz w:val="24"/>
        </w:rPr>
        <w:t>. Each Member irrevocably and unconditionally waives, and agrees not to assert or perfect, any rights of appraisal or dissent or other similar rights.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3.11 </w:t>
      </w:r>
      <w:r>
        <w:rPr>
          <w:rFonts w:ascii="Times New Roman" w:hAnsi="Times New Roman"/>
          <w:b w:val="false"/>
          <w:color w:val="000000"/>
          <w:sz w:val="24"/>
          <w:u w:val="single"/>
        </w:rPr>
        <w:t>Withdrawals</w:t>
      </w:r>
      <w:r>
        <w:rPr>
          <w:rFonts w:ascii="Times New Roman" w:hAnsi="Times New Roman"/>
          <w:b w:val="false"/>
          <w:color w:val="000000"/>
          <w:sz w:val="24"/>
        </w:rPr>
        <w:t xml:space="preserve">. Except as explicitly provided elsewhere herein, no Member shall have any right (a) to resign or withdraw as a Member from the Company, (b) to withdraw from the Company all or any part of such Member’s Capital Contributions, (c) to receive property other than cash in return for such Member’s Capital Contributions or (d) to receive any distribution from the Company, except in accordance with </w:t>
      </w:r>
      <w:r>
        <w:rPr>
          <w:rFonts w:ascii="Times New Roman" w:hAnsi="Times New Roman"/>
          <w:b w:val="false"/>
          <w:color w:val="000000"/>
          <w:sz w:val="24"/>
          <w:u w:val="single"/>
        </w:rPr>
        <w:t>Article 5</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Article 9</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3.12 </w:t>
      </w:r>
      <w:r>
        <w:rPr>
          <w:rFonts w:ascii="Times New Roman" w:hAnsi="Times New Roman"/>
          <w:b w:val="false"/>
          <w:color w:val="000000"/>
          <w:sz w:val="24"/>
          <w:u w:val="single"/>
        </w:rPr>
        <w:t>Liability of the Members Generally</w:t>
      </w:r>
      <w:r>
        <w:rPr>
          <w:rFonts w:ascii="Times New Roman" w:hAnsi="Times New Roman"/>
          <w:b w:val="false"/>
          <w:color w:val="000000"/>
          <w:sz w:val="24"/>
        </w:rPr>
        <w:t>. Except as explicitly provided elsewhere herein or in the Act, no Member shall be liable for any debts, liabilities, contracts or obligations of the Company whatsoever. Each of the Members acknowledges that its Capital Contributions are subject to the claims of any and all creditors of the Company to the extent provided by the Act and other applicable Law.</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4</w:t>
      </w:r>
      <w:r>
        <w:rPr>
          <w:rFonts w:ascii="Times New Roman" w:hAnsi="Times New Roman"/>
          <w:caps/>
          <w:color w:val="000000"/>
          <w:sz w:val="24"/>
          <w:u w:val="single"/>
        </w:rPr>
        <w:br/>
        <w:t>MANAGEMENT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4.01 </w:t>
      </w:r>
      <w:r>
        <w:rPr>
          <w:rFonts w:ascii="Times New Roman" w:hAnsi="Times New Roman"/>
          <w:b w:val="false"/>
          <w:color w:val="000000"/>
          <w:sz w:val="24"/>
          <w:u w:val="single"/>
        </w:rPr>
        <w:t>Management and Control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(a) (i) The Members have established the Company as a “managers-managed” limited liability company and have agreed to initially designate a board of managers (the “</w:t>
      </w:r>
      <w:r>
        <w:rPr>
          <w:rFonts w:ascii="Times New Roman" w:hAnsi="Times New Roman"/>
          <w:b/>
          <w:color w:val="000000"/>
          <w:sz w:val="24"/>
          <w:u w:val="single"/>
        </w:rPr>
        <w:t>Board of Managers</w:t>
      </w:r>
      <w:r>
        <w:rPr>
          <w:rFonts w:ascii="Times New Roman" w:hAnsi="Times New Roman"/>
          <w:color w:val="000000"/>
          <w:sz w:val="24"/>
        </w:rPr>
        <w:t xml:space="preserve">”) of four (4) Persons to manage the Company and its and its Subsidiaries’ business and affairs. Each of the Persons appointed to the Board of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Managers is referred to herein as a “</w:t>
      </w:r>
      <w:r>
        <w:rPr>
          <w:rFonts w:ascii="Times New Roman" w:hAnsi="Times New Roman"/>
          <w:b/>
          <w:color w:val="000000"/>
          <w:sz w:val="24"/>
          <w:u w:val="single"/>
        </w:rPr>
        <w:t>Manager</w:t>
      </w:r>
      <w:r>
        <w:rPr>
          <w:rFonts w:ascii="Times New Roman" w:hAnsi="Times New Roman"/>
          <w:color w:val="000000"/>
          <w:sz w:val="24"/>
        </w:rPr>
        <w:t xml:space="preserve">.” Subject to the remainder of this </w:t>
      </w:r>
      <w:r>
        <w:rPr>
          <w:rFonts w:ascii="Times New Roman" w:hAnsi="Times New Roman"/>
          <w:color w:val="000000"/>
          <w:sz w:val="24"/>
          <w:u w:val="single"/>
        </w:rPr>
        <w:t>Section 4.01</w:t>
      </w:r>
      <w:r>
        <w:rPr>
          <w:rFonts w:ascii="Times New Roman" w:hAnsi="Times New Roman"/>
          <w:color w:val="000000"/>
          <w:sz w:val="24"/>
        </w:rPr>
        <w:t>, the Board of Managers shall consist of the following individuals: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for so long as the Investor Member or its Affiliates hold any Series B/B1 Preferred Units (or any Common Units issued upon conversion thereof), one (1) Manager designated by the Investor Member;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at any time any Series B/B1 Accruing Distribution is not declared and paid in cash in full on the quarterly payment date therefor pursuant to </w:t>
      </w:r>
      <w:r>
        <w:rPr>
          <w:rFonts w:ascii="Times New Roman" w:hAnsi="Times New Roman"/>
          <w:color w:val="000000"/>
          <w:sz w:val="24"/>
          <w:u w:val="single"/>
        </w:rPr>
        <w:t>Section 5.01</w:t>
      </w:r>
      <w:r>
        <w:rPr>
          <w:rFonts w:ascii="Times New Roman" w:hAnsi="Times New Roman"/>
          <w:color w:val="000000"/>
          <w:sz w:val="24"/>
        </w:rPr>
        <w:t>, the Investor Member shall be entitled to designate two (2) Managers;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subject to </w:t>
      </w:r>
      <w:r>
        <w:rPr>
          <w:rFonts w:ascii="Times New Roman" w:hAnsi="Times New Roman"/>
          <w:color w:val="000000"/>
          <w:sz w:val="24"/>
          <w:u w:val="single"/>
        </w:rPr>
        <w:t>Section 4.01(a)(vi)</w:t>
      </w:r>
      <w:r>
        <w:rPr>
          <w:rFonts w:ascii="Times New Roman" w:hAnsi="Times New Roman"/>
          <w:color w:val="000000"/>
          <w:sz w:val="24"/>
        </w:rPr>
        <w:t>, one (1) Manager designated by the Vroom Member (the “</w:t>
      </w:r>
      <w:r>
        <w:rPr>
          <w:rFonts w:ascii="Times New Roman" w:hAnsi="Times New Roman"/>
          <w:b/>
          <w:color w:val="000000"/>
          <w:sz w:val="24"/>
          <w:u w:val="single"/>
        </w:rPr>
        <w:t>Vroom Manager</w:t>
      </w:r>
      <w:r>
        <w:rPr>
          <w:rFonts w:ascii="Times New Roman" w:hAnsi="Times New Roman"/>
          <w:color w:val="000000"/>
          <w:sz w:val="24"/>
        </w:rPr>
        <w:t xml:space="preserve">”); and </w:t>
      </w:r>
    </w:p>
    <w:p>
      <w:pPr>
        <w:pStyle w:val="TextBody"/>
        <w:bidi w:val="0"/>
        <w:spacing w:before="0" w:after="240"/>
        <w:jc w:val="both"/>
        <w:rPr>
          <w:rFonts w:ascii="Times New Roman" w:hAnsi="Times New Roman"/>
          <w:sz w:val="24"/>
        </w:rPr>
      </w:pPr>
      <w:r>
        <w:rPr>
          <w:rFonts w:ascii="Times New Roman" w:hAnsi="Times New Roman"/>
          <w:color w:val="000000"/>
          <w:sz w:val="24"/>
        </w:rPr>
        <w:t>(C) one (1) independent Manager designated jointly by the Investor Member and the Vroom Member, and shall not be a director, officer or employee of the Investor Member, the Vroom Member or any of their respective Affiliates (the “</w:t>
      </w:r>
      <w:r>
        <w:rPr>
          <w:rFonts w:ascii="Times New Roman" w:hAnsi="Times New Roman"/>
          <w:b/>
          <w:color w:val="000000"/>
          <w:sz w:val="24"/>
          <w:u w:val="single"/>
        </w:rPr>
        <w:t>Independent Manager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Each Manager shall have one (1) vote for any matter for which approval of the Board of Managers is required by the Act or this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(iii) If at any time any Manager ceases to serve on the Board of Managers (whether due to death, disability, retirement, resignation or removal), then only the Member entitled to designate such Manager shall be entitled to designate a replacement for such Manager by written notice to the Board of Managers. If at any time the Independent Manager ceases to serve on the Board of Managers (whether due to death, disability, retirement, resignation or removal), then the Investor Member and the Vroom Member shall be entitled to jointly designate a replacement for such Independent Manager by written notice to the Board of Managers. The Board of Managers shall initially be comprised of the individuals set forth on </w:t>
      </w:r>
      <w:r>
        <w:rPr>
          <w:rFonts w:ascii="Times New Roman" w:hAnsi="Times New Roman"/>
          <w:color w:val="000000"/>
          <w:sz w:val="24"/>
          <w:u w:val="single"/>
        </w:rPr>
        <w:t>SCHEDULE B</w:t>
      </w:r>
      <w:r>
        <w:rPr>
          <w:rFonts w:ascii="Times New Roman" w:hAnsi="Times New Roman"/>
          <w:color w:val="000000"/>
          <w:sz w:val="24"/>
        </w:rPr>
        <w:t xml:space="preserve">, which schedule shall be updated from time to reflect any changes to the Board of Managers pursuant to </w:t>
      </w:r>
      <w:r>
        <w:rPr>
          <w:rFonts w:ascii="Times New Roman" w:hAnsi="Times New Roman"/>
          <w:color w:val="000000"/>
          <w:sz w:val="24"/>
          <w:u w:val="single"/>
        </w:rPr>
        <w:t>Section 4.01(a)</w:t>
      </w:r>
      <w:r>
        <w:rPr>
          <w:rFonts w:ascii="Times New Roman" w:hAnsi="Times New Roman"/>
          <w:color w:val="000000"/>
          <w:sz w:val="24"/>
        </w:rPr>
        <w:t xml:space="preserve">(i) and this </w:t>
      </w:r>
      <w:r>
        <w:rPr>
          <w:rFonts w:ascii="Times New Roman" w:hAnsi="Times New Roman"/>
          <w:color w:val="000000"/>
          <w:sz w:val="24"/>
          <w:u w:val="single"/>
        </w:rPr>
        <w:t>Section 4.01(a)(iii)</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(iv) The Board of Managers shall have the exclusive right to manage and control the Company, subject to any other provisions herein specifically requiring the approval of the Members (including, without limitation, </w:t>
      </w:r>
      <w:r>
        <w:rPr>
          <w:rFonts w:ascii="Times New Roman" w:hAnsi="Times New Roman"/>
          <w:color w:val="000000"/>
          <w:sz w:val="24"/>
          <w:u w:val="single"/>
        </w:rPr>
        <w:t>Section 3.09(b)</w:t>
      </w:r>
      <w:r>
        <w:rPr>
          <w:rFonts w:ascii="Times New Roman" w:hAnsi="Times New Roman"/>
          <w:color w:val="000000"/>
          <w:sz w:val="24"/>
        </w:rPr>
        <w:t xml:space="preserve">). Subject to </w:t>
      </w:r>
      <w:r>
        <w:rPr>
          <w:rFonts w:ascii="Times New Roman" w:hAnsi="Times New Roman"/>
          <w:color w:val="000000"/>
          <w:sz w:val="24"/>
          <w:u w:val="single"/>
        </w:rPr>
        <w:t>Section 3.09(b)</w:t>
      </w:r>
      <w:r>
        <w:rPr>
          <w:rFonts w:ascii="Times New Roman" w:hAnsi="Times New Roman"/>
          <w:color w:val="000000"/>
          <w:sz w:val="24"/>
        </w:rPr>
        <w:t xml:space="preserve">, the Board of Managers shall have the right to perform all actions necessary, convenient or incidental to the accomplishment of the purposes and authorized acts of the Company, as specified in </w:t>
      </w:r>
      <w:r>
        <w:rPr>
          <w:rFonts w:ascii="Times New Roman" w:hAnsi="Times New Roman"/>
          <w:color w:val="000000"/>
          <w:sz w:val="24"/>
          <w:u w:val="single"/>
        </w:rPr>
        <w:t>Section 2.05</w:t>
      </w:r>
      <w:r>
        <w:rPr>
          <w:rFonts w:ascii="Times New Roman" w:hAnsi="Times New Roman"/>
          <w:color w:val="000000"/>
          <w:sz w:val="24"/>
        </w:rPr>
        <w:t xml:space="preserve"> and </w:t>
      </w:r>
      <w:r>
        <w:rPr>
          <w:rFonts w:ascii="Times New Roman" w:hAnsi="Times New Roman"/>
          <w:color w:val="000000"/>
          <w:sz w:val="24"/>
          <w:u w:val="single"/>
        </w:rPr>
        <w:t>Section 2.06</w:t>
      </w:r>
      <w:r>
        <w:rPr>
          <w:rFonts w:ascii="Times New Roman" w:hAnsi="Times New Roman"/>
          <w:color w:val="000000"/>
          <w:sz w:val="24"/>
        </w:rPr>
        <w:t xml:space="preserve">, and the Board of Managers, acting as a body pursuant to this Agreement, shall constitute a “manager” of the Company within the meaning of the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individual Manager shall have the authority or right to act for or bind the Company without the requisite consent of the Board of Managers.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 Unless expressly provided to the contrary in this Agreement, any action, consent, approval, election, decision or determination to be made by the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Board of Managers under or in connection with this Agreement (including any act by the Board of Managers within its “discretion” under this Agreement and the execution and delivery of any documents or agreements on behalf of the Company), shall be in the sole discretion of the Board of Managers.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(vi) Meetings of the Board of Managers shall be held on a quarterly basis, when called by either the chairman thereof or any member of the Board of Managers, upon not less than one (1) business day’s advance written notice to the Managers. Attendance at any meeting of the Board of Managers shall constitute waiver of notice of such meeting. Additionally, a waiver of such notice in writing signed by the Manager entitled to such notice, whether before or after the time stated therein, shall be deemed equivalent to the giving of such notice. The quorum for a meeting of the Board of Managers (or any committee) shall be a simple majority in voting power of its members, including at least one (1) Investor Manager (for the avoidance of doubt, vacant Manager positions shall not be counted for purposes of determining quorum). Members of the Board of Managers may participate in any meeting of the Board of Managers (or any committee) by conference telephone or similar communications equipment by means of which all persons participating in the meeting can hear each other. All action taken by the Board of Managers (or any committee) shall be by a simple majority of the voting power represented by the members present at a meeting thereof in person or by telephone or similar communications equipment;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notwithstanding anything to the contrary herein, (A) the affirmative approval of the Independent Manager (if then seated) and at least one (1) Investor Manager shall be required for any bankruptcy of the Company or any Insolvency Event and (B) in the event that any Event of Default has occurred and remains outstanding, if the Investor Member proposes any plan for filing for bankruptcy of the Company, the Vroom Manager will either vote in favor of such plan or resign.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The Board of Managers may create and maintain customary committees, including an executive committee, an audit committee and compensation committee. Any such committee shall include at least one (1) Investor Manager.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The Board of Managers (or any committee) may also take action without any meeting of the members of the Board of Managers (or any committee) by written consent of all of the Managers of the Board of Managers (or any committee) setting forth the action to be approved (for the avoidance of doubt, a vacancy in one or more Manager positions shall not affect the ability of the Managers to take action by written consent).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(ix) A Manager may vote at a meeting of the Board of Managers or any committee thereof either in person or by proxy executed in writing by such Manager. An email by the Manager, or a photographic, photostatic, facsimile, electronic or similar reproduction of a writing executed by the Manager shall (if stated thereon) be treated as a proxy executed in writing for purposes of this </w:t>
      </w:r>
      <w:r>
        <w:rPr>
          <w:rFonts w:ascii="Times New Roman" w:hAnsi="Times New Roman"/>
          <w:color w:val="000000"/>
          <w:sz w:val="24"/>
          <w:u w:val="single"/>
        </w:rPr>
        <w:t>Section 4.01(a)(ix)</w:t>
      </w:r>
      <w:r>
        <w:rPr>
          <w:rFonts w:ascii="Times New Roman" w:hAnsi="Times New Roman"/>
          <w:color w:val="000000"/>
          <w:sz w:val="24"/>
        </w:rPr>
        <w:t xml:space="preserve">. Proxies for use at any meeting of the Board of Managers or any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committee thereof or in connection with the taking of any action by written consent shall be filed with the Board of Managers, before or at the time of the meeting or execution of the written consent as the case may be. All proxies shall be received and taken charge of and all ballots shall be received and canvassed by the majority of the Board of Managers who shall decide all questions concerning the qualification of voters, the validity of the proxies and the acceptance or rejection of votes. No proxy shall be valid after eleven (11) months from the date of its execution unless otherwise provided in the proxy. A proxy shall be revocable unless the proxy form conspicuously states that the proxy is irrevocable and that the proxy is coupled with an interest. Should a proxy designate two (2)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The Company shall pay the reasonable out-of-pocket expenses incurred by each non-employee Manager in connection with attending the meetings of the Board of Managers (or any committee) and while conducting business at the request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(xi) For so long as it or its Affiliates hold any Units, each of the Investor Member and the Vroom Member shall have the right to separately designate one (1) individual (the “</w:t>
      </w:r>
      <w:r>
        <w:rPr>
          <w:rFonts w:ascii="Times New Roman" w:hAnsi="Times New Roman"/>
          <w:b/>
          <w:color w:val="000000"/>
          <w:sz w:val="24"/>
          <w:u w:val="single"/>
        </w:rPr>
        <w:t>Board Observers</w:t>
      </w:r>
      <w:r>
        <w:rPr>
          <w:rFonts w:ascii="Times New Roman" w:hAnsi="Times New Roman"/>
          <w:color w:val="000000"/>
          <w:sz w:val="24"/>
        </w:rPr>
        <w:t>”) to attend all meetings of the Board of Managers or any committee thereof, in each case as an observer. Each Board Observer shall receive proper notices of all meetings of the Board of Managers or any committee thereof (and shall have the right to participate in all discussions thereat but shall not be entitled to vote on any matter submitted to the Board of Managers for approval) and shall receive all written materials distributed or required to be distributed to the Board of Managers or any committee thereof reasonably in advance of meetings of the Board of Managers or such committee. The Company shall pay the reasonable out-of-pocket expenses incurred by each Board Observer in connection with attending the meetings of the Board of Managers and any committee thereof (but in no event shall any Board Observer enjoy compensation from the Company for the performance of such role). Notwithstanding anything to the contrary, the Company reserves the right to exclude any Board Observer from access to any material or meeting or portion thereof if the Company believes upon advice of counsel that such exclusion is reasonably necessary to preserve the attorney-client privilege.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No Member, in its capacity as such, shall participate in or have any control over the Company Business. Each such Member hereby consents to the exercise by the Board of Managers of the powers conferred upon the Board of Managers by this Agreement. The Members, in their capacities as such, shall not participate in the control,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management, direction or operation of the activities or affairs of the Company and shall not have any authority or right, in their capacities as Members of the Company, to act for or bind the Company.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The Board of Managers is authorized to appoint any person as an officer of the Company who shall have such powers and perform such duties incident to such person’s office as may from time to time be conferred upon or assigned to it by the Board of Managers and assign in writing titles (including Chief Executive Officer, President, Chief Financial Officer, Vice President, Secretary, Treasurer and Assistant Secretary) to any such person. Any appointment pursuant to this </w:t>
      </w:r>
      <w:r>
        <w:rPr>
          <w:rFonts w:ascii="Times New Roman" w:hAnsi="Times New Roman"/>
          <w:color w:val="000000"/>
          <w:sz w:val="24"/>
          <w:u w:val="single"/>
        </w:rPr>
        <w:t>Section 4.01(c)</w:t>
      </w:r>
      <w:r>
        <w:rPr>
          <w:rFonts w:ascii="Times New Roman" w:hAnsi="Times New Roman"/>
          <w:color w:val="000000"/>
          <w:sz w:val="24"/>
        </w:rPr>
        <w:t xml:space="preserve"> may be revoked at any time by the Board of Managers. In addition, subject to </w:t>
      </w:r>
      <w:r>
        <w:rPr>
          <w:rFonts w:ascii="Times New Roman" w:hAnsi="Times New Roman"/>
          <w:color w:val="000000"/>
          <w:sz w:val="24"/>
          <w:u w:val="single"/>
        </w:rPr>
        <w:t>Section 3.09(b)</w:t>
      </w:r>
      <w:r>
        <w:rPr>
          <w:rFonts w:ascii="Times New Roman" w:hAnsi="Times New Roman"/>
          <w:color w:val="000000"/>
          <w:sz w:val="24"/>
        </w:rPr>
        <w:t xml:space="preserve">, the Board of Managers is authorized to employ, engage and dismiss, on behalf of the Company, any Person, including an Affiliate of any Member, to perform services for, or furnish goods to, the Company. Unless the Board of Managers states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4.02 </w:t>
      </w:r>
      <w:r>
        <w:rPr>
          <w:rFonts w:ascii="Times New Roman" w:hAnsi="Times New Roman"/>
          <w:b w:val="false"/>
          <w:color w:val="000000"/>
          <w:sz w:val="24"/>
          <w:u w:val="single"/>
        </w:rPr>
        <w:t>Actions by the Board of Managers</w:t>
      </w:r>
      <w:r>
        <w:rPr>
          <w:rFonts w:ascii="Times New Roman" w:hAnsi="Times New Roman"/>
          <w:b w:val="false"/>
          <w:color w:val="000000"/>
          <w:sz w:val="24"/>
        </w:rPr>
        <w:t xml:space="preserve">. Except as may be expressly limited by the provisions of this Agreement, including </w:t>
      </w:r>
      <w:r>
        <w:rPr>
          <w:rFonts w:ascii="Times New Roman" w:hAnsi="Times New Roman"/>
          <w:b w:val="false"/>
          <w:color w:val="000000"/>
          <w:sz w:val="24"/>
          <w:u w:val="single"/>
        </w:rPr>
        <w:t>Section 3.09(b)</w:t>
      </w:r>
      <w:r>
        <w:rPr>
          <w:rFonts w:ascii="Times New Roman" w:hAnsi="Times New Roman"/>
          <w:b w:val="false"/>
          <w:color w:val="000000"/>
          <w:sz w:val="24"/>
        </w:rPr>
        <w:t xml:space="preserve">, </w:t>
      </w:r>
      <w:r>
        <w:rPr>
          <w:rFonts w:ascii="Times New Roman" w:hAnsi="Times New Roman"/>
          <w:b w:val="false"/>
          <w:color w:val="000000"/>
          <w:sz w:val="24"/>
          <w:u w:val="single"/>
        </w:rPr>
        <w:t>Section 4.01(a)(v)</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4.01(a)(vii)</w:t>
      </w:r>
      <w:r>
        <w:rPr>
          <w:rFonts w:ascii="Times New Roman" w:hAnsi="Times New Roman"/>
          <w:b w:val="false"/>
          <w:color w:val="000000"/>
          <w:sz w:val="24"/>
        </w:rPr>
        <w:t>, each Manager is specifically authorized to execute, sign, seal and deliver in the name and on behalf of the Company any and all agreements, certificates, instruments or other documents requisite to carrying out the intentions and purposes of this Agreement and matters approved by the Board of Managers with respect to the Company.</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4.03 </w:t>
      </w:r>
      <w:r>
        <w:rPr>
          <w:rFonts w:ascii="Times New Roman" w:hAnsi="Times New Roman"/>
          <w:b w:val="false"/>
          <w:color w:val="000000"/>
          <w:sz w:val="24"/>
          <w:u w:val="single"/>
        </w:rPr>
        <w:t>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Except as otherwise expressly provided herein or in any agreement by which the parties or any of them are bound (including the Purchase Agreement), the parties hereto shall pay their own fees and expenses (including fees and expenses of attorneys, accountants and other professional advisors) in connection with the negotiation of this Agreement, the performance of its obligations hereunder and the consummation of the transactions contemplated by this Agreement (whether consummated or not).</w:t>
      </w:r>
    </w:p>
    <w:p>
      <w:pPr>
        <w:pStyle w:val="TextBody"/>
        <w:bidi w:val="0"/>
        <w:spacing w:before="0" w:after="240"/>
        <w:jc w:val="both"/>
        <w:rPr>
          <w:rFonts w:ascii="Times New Roman" w:hAnsi="Times New Roman"/>
          <w:sz w:val="24"/>
        </w:rPr>
      </w:pPr>
      <w:r>
        <w:rPr>
          <w:rFonts w:ascii="Times New Roman" w:hAnsi="Times New Roman"/>
          <w:color w:val="000000"/>
          <w:sz w:val="24"/>
        </w:rPr>
        <w:t>(b) The Company shall pay for any and all expenses, costs and liabilities incurred by or on behalf of the Company with respect to the legal existence of the Company, required regulatory compliance matters, the acquisition, ownership, oversight, administration, financial reporting and sale of the Company and its Subsidiaries, the conduct of the business of the Company and all matters incidental to the foregoing, in each case in accordance with the provisions hereof (collectively, “</w:t>
      </w:r>
      <w:r>
        <w:rPr>
          <w:rFonts w:ascii="Times New Roman" w:hAnsi="Times New Roman"/>
          <w:b/>
          <w:color w:val="000000"/>
          <w:sz w:val="24"/>
          <w:u w:val="single"/>
        </w:rPr>
        <w:t>Company Expenses</w:t>
      </w:r>
      <w:r>
        <w:rPr>
          <w:rFonts w:ascii="Times New Roman" w:hAnsi="Times New Roman"/>
          <w:color w:val="000000"/>
          <w:sz w:val="24"/>
        </w:rPr>
        <w:t>”), including: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all routine administrative and overhead expenses of the Company, including fees of auditors, accountants, attorneys and other professionals, expenses incurred in connection with organizing and establishing the Company, and expenses associated with the maintenance of books and records of the Company and communications with Members;</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costs of directors’ and officers’ liability or other insurance and all expenses incurred in connection with any litigation involving the Company and the amount of any judgment or settlement paid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all expenses for indemnity or contribution payable by the Company to any Person, whether payable under this Agreement or otherwise and whether payable in connection with any litigation involving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(iv) all expenses incurred in connection with any Indebtedness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out-of-pocket fees, costs and expenses, if any, incurred in connection with (A) developing, negotiating, structuring, acquiring, trading, settling, monitoring, holding and disposing of the equity or assets of the Company and its Subsidiaries, including any financing, legal, accounting, advisory and consulting expenses in connection therewith, and (B) developing, structuring, operating and winding up administrative structures put in place to facilitate the Company’s investment activities;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all expenses incurred in connection with any liquidation, dissolution or winding up of the Company.</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4.04 </w:t>
      </w:r>
      <w:r>
        <w:rPr>
          <w:rFonts w:ascii="Times New Roman" w:hAnsi="Times New Roman"/>
          <w:b w:val="false"/>
          <w:color w:val="000000"/>
          <w:sz w:val="24"/>
          <w:u w:val="single"/>
        </w:rPr>
        <w:t>Exculpation.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Subject to applicable Law, no Indemnified Party shall be liable, in damages or otherwise, to the Company, the Members or any of their Affiliates for any act or omission performed or omitted by any of them in good faith (including any act or omission performed or omitted by any of them in reliance upon and in accordance with the opinion or advice of experts, including of legal counsel as to matters of law, of accountants as to matters of accounting, or of investment bankers or appraisers as to matters of valuation), except (i) for any act taken by such Indemnified Party purporting to bind the Company that has not been authorized pursuant to this Agreement or (ii) any act or omission with respect to which such Indemnified Party was grossly negligent or engaged in intentional misconduct.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the extent that, at law or in equity, any Indemnified Party has duties and liabilities to the Company or to any Member, such Indemnified Party acting under this Agreement shall not be liable to the Company or to any Member for its good faith reliance on the provisions of this Agreement. The provisions of this Agreement, to the extent that they restrict or eliminate the duties and liabilities of an Indemnified Party otherwise existing at law or in equity (including fiduciary duties), are agreed by the parties hereto to replace such other duties and liabilities of such Indemnified Party, to the maximum extent permitted by applicable Law.</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4.05 </w:t>
      </w:r>
      <w:r>
        <w:rPr>
          <w:rFonts w:ascii="Times New Roman" w:hAnsi="Times New Roman"/>
          <w:b w:val="false"/>
          <w:color w:val="000000"/>
          <w:sz w:val="24"/>
          <w:u w:val="single"/>
        </w:rPr>
        <w:t>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To the fullest extent permitted by applicable Law, from and after the Reference Date, the Company shall and does hereby agree to indemnify and hold harmless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and pay all judgments and claims against (i) each Member, (ii) the Board of Managers and each Manager, (iii) each officer, employee, agent or representative of the Company and (iv) the officers, directors, employees, shareholders, partners, managers, controlling Affiliates, agents or representatives and members of each Member, and each of their controlling Affiliates (each, an “</w:t>
      </w:r>
      <w:r>
        <w:rPr>
          <w:rFonts w:ascii="Times New Roman" w:hAnsi="Times New Roman"/>
          <w:b/>
          <w:color w:val="000000"/>
          <w:sz w:val="24"/>
          <w:u w:val="single"/>
        </w:rPr>
        <w:t>Indemnified Party</w:t>
      </w:r>
      <w:r>
        <w:rPr>
          <w:rFonts w:ascii="Times New Roman" w:hAnsi="Times New Roman"/>
          <w:color w:val="000000"/>
          <w:sz w:val="24"/>
        </w:rPr>
        <w:t xml:space="preserve">”, each of which shall be a third party beneficiary of this Agreement solely for purposes of this </w:t>
      </w:r>
      <w:r>
        <w:rPr>
          <w:rFonts w:ascii="Times New Roman" w:hAnsi="Times New Roman"/>
          <w:color w:val="000000"/>
          <w:sz w:val="24"/>
          <w:u w:val="single"/>
        </w:rPr>
        <w:t>Section 4.05</w:t>
      </w:r>
      <w:r>
        <w:rPr>
          <w:rFonts w:ascii="Times New Roman" w:hAnsi="Times New Roman"/>
          <w:color w:val="000000"/>
          <w:sz w:val="24"/>
        </w:rPr>
        <w:t xml:space="preserve"> and </w:t>
      </w:r>
      <w:r>
        <w:rPr>
          <w:rFonts w:ascii="Times New Roman" w:hAnsi="Times New Roman"/>
          <w:color w:val="000000"/>
          <w:sz w:val="24"/>
          <w:u w:val="single"/>
        </w:rPr>
        <w:t>Section 4.04</w:t>
      </w:r>
      <w:r>
        <w:rPr>
          <w:rFonts w:ascii="Times New Roman" w:hAnsi="Times New Roman"/>
          <w:color w:val="000000"/>
          <w:sz w:val="24"/>
        </w:rPr>
        <w:t xml:space="preserve"> and </w:t>
      </w:r>
      <w:r>
        <w:rPr>
          <w:rFonts w:ascii="Times New Roman" w:hAnsi="Times New Roman"/>
          <w:color w:val="000000"/>
          <w:sz w:val="24"/>
          <w:u w:val="single"/>
        </w:rPr>
        <w:t>Section 4.07</w:t>
      </w:r>
      <w:r>
        <w:rPr>
          <w:rFonts w:ascii="Times New Roman" w:hAnsi="Times New Roman"/>
          <w:color w:val="000000"/>
          <w:sz w:val="24"/>
        </w:rPr>
        <w:t>), from and against any loss or damage incurred by an Indemnified Party or by the Company by reason of the fact that such Indemnified Party is or was acting in its capacity as such and for any act or omission taken or suffered by such Indemnified Party in good faith (including any act or omission taken or suffered by any of them in reliance upon and in accordance with the opinion or advice of experts, including of legal counsel as to matters of law, of accountants as to matters of accounting, or of investment bankers or appraisers as to matters of valuation) in connection with the Company Business, including costs and reasonable attorneys’ fees and any amount expended in the settlement of any claims or loss or damage, except with respect to any act or omission with respect to which such Indemnified Party was grossly negligent or engaged in fraud or intentional misconduct.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The satisfaction of any indemnification obligation pursuant to </w:t>
      </w:r>
      <w:r>
        <w:rPr>
          <w:rFonts w:ascii="Times New Roman" w:hAnsi="Times New Roman"/>
          <w:color w:val="000000"/>
          <w:sz w:val="24"/>
          <w:u w:val="single"/>
        </w:rPr>
        <w:t>Section 4.05(a)</w:t>
      </w:r>
      <w:r>
        <w:rPr>
          <w:rFonts w:ascii="Times New Roman" w:hAnsi="Times New Roman"/>
          <w:color w:val="000000"/>
          <w:sz w:val="24"/>
        </w:rPr>
        <w:t xml:space="preserve"> shall be from and limited to Company assets (including insurance and any agreements pursuant to which the Company, its officers or employees are entitled to indemnification) and no Member, in such capacity, shall be subject to personal liability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Expenses reasonably incurred by an Indemnified Party in defense or settlement of any claim that may be subject to a right of indemnification hereunder shall be advanced by the Company prior to the final disposition thereof upon receipt of an undertaking by or on behalf of such Indemnified Party to repay such amount to the extent that it shall be determined upon final adjudication after all possible appeals have been exhausted that such Indemnified Party is not entitled to be indemnified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Company may purchase and maintain insurance on behalf of all officers, Managers and other Indemnified Parties against any liability which may be asserted against, or expense which may be incurred by, any such Person in connection with the Company’s activities whether or not the Company would have the power to indemnify such Person against such liabilities under the provisions of this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The indemnification and advancement of expenses provided by, or granted pursuant to, this </w:t>
      </w:r>
      <w:r>
        <w:rPr>
          <w:rFonts w:ascii="Times New Roman" w:hAnsi="Times New Roman"/>
          <w:color w:val="000000"/>
          <w:sz w:val="24"/>
          <w:u w:val="single"/>
        </w:rPr>
        <w:t>Section 4.05</w:t>
      </w:r>
      <w:r>
        <w:rPr>
          <w:rFonts w:ascii="Times New Roman" w:hAnsi="Times New Roman"/>
          <w:color w:val="000000"/>
          <w:sz w:val="24"/>
        </w:rPr>
        <w:t xml:space="preserve"> shall, unless otherwise provided when authorized or ratified, inure to the benefit of the heirs, executors and administrators of an Indemnified Party. Any amendment, modification or repeal of </w:t>
      </w:r>
      <w:r>
        <w:rPr>
          <w:rFonts w:ascii="Times New Roman" w:hAnsi="Times New Roman"/>
          <w:color w:val="000000"/>
          <w:sz w:val="24"/>
          <w:u w:val="single"/>
        </w:rPr>
        <w:t>Section 4.04</w:t>
      </w:r>
      <w:r>
        <w:rPr>
          <w:rFonts w:ascii="Times New Roman" w:hAnsi="Times New Roman"/>
          <w:color w:val="000000"/>
          <w:sz w:val="24"/>
        </w:rPr>
        <w:t xml:space="preserve"> or this </w:t>
      </w:r>
      <w:r>
        <w:rPr>
          <w:rFonts w:ascii="Times New Roman" w:hAnsi="Times New Roman"/>
          <w:color w:val="000000"/>
          <w:sz w:val="24"/>
          <w:u w:val="single"/>
        </w:rPr>
        <w:t>Section 4.05</w:t>
      </w:r>
      <w:r>
        <w:rPr>
          <w:rFonts w:ascii="Times New Roman" w:hAnsi="Times New Roman"/>
          <w:color w:val="000000"/>
          <w:sz w:val="24"/>
        </w:rPr>
        <w:t xml:space="preserve"> or any provision hereof or thereof shall be prospective only and shall not in any way affect the limitations on liability of the Indemnified Parties, or terminate, reduce or impair the right of any past, present or future Indemnified Party, under and in accordance with the provisions of </w:t>
      </w:r>
      <w:r>
        <w:rPr>
          <w:rFonts w:ascii="Times New Roman" w:hAnsi="Times New Roman"/>
          <w:color w:val="000000"/>
          <w:sz w:val="24"/>
          <w:u w:val="single"/>
        </w:rPr>
        <w:t>Section 4.04</w:t>
      </w:r>
      <w:r>
        <w:rPr>
          <w:rFonts w:ascii="Times New Roman" w:hAnsi="Times New Roman"/>
          <w:color w:val="000000"/>
          <w:sz w:val="24"/>
        </w:rPr>
        <w:t xml:space="preserve"> or this </w:t>
      </w:r>
      <w:r>
        <w:rPr>
          <w:rFonts w:ascii="Times New Roman" w:hAnsi="Times New Roman"/>
          <w:color w:val="000000"/>
          <w:sz w:val="24"/>
          <w:u w:val="single"/>
        </w:rPr>
        <w:t>Section 4.05</w:t>
      </w:r>
      <w:r>
        <w:rPr>
          <w:rFonts w:ascii="Times New Roman" w:hAnsi="Times New Roman"/>
          <w:color w:val="000000"/>
          <w:sz w:val="24"/>
        </w:rPr>
        <w:t xml:space="preserve"> as in effect immediately prior to such amendment, modification or repeal with respect to claims arising from or relating to matters occurring, in whole or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part, prior to such amendment, modification or repeal, regardless of when such claims may arise or be asserted.</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4.06 </w:t>
      </w:r>
      <w:r>
        <w:rPr>
          <w:rFonts w:ascii="Times New Roman" w:hAnsi="Times New Roman"/>
          <w:b w:val="false"/>
          <w:color w:val="000000"/>
          <w:sz w:val="24"/>
          <w:u w:val="single"/>
        </w:rPr>
        <w:t>Business Opportunity</w:t>
      </w:r>
      <w:r>
        <w:rPr>
          <w:rFonts w:ascii="Times New Roman" w:hAnsi="Times New Roman"/>
          <w:b w:val="false"/>
          <w:color w:val="000000"/>
          <w:sz w:val="24"/>
        </w:rPr>
        <w:t>. The Company and each Member renounce any interest or expectancy of the Company in, or in being offered an opportunity to participate in, any Excluded Opportunity. An “</w:t>
      </w:r>
      <w:r>
        <w:rPr>
          <w:rFonts w:ascii="Times New Roman" w:hAnsi="Times New Roman"/>
          <w:color w:val="000000"/>
          <w:sz w:val="24"/>
          <w:u w:val="single"/>
        </w:rPr>
        <w:t>Excluded Opportunity</w:t>
      </w:r>
      <w:r>
        <w:rPr>
          <w:rFonts w:ascii="Times New Roman" w:hAnsi="Times New Roman"/>
          <w:color w:val="000000"/>
          <w:sz w:val="24"/>
        </w:rPr>
        <w:t xml:space="preserve">” </w:t>
      </w:r>
      <w:r>
        <w:rPr>
          <w:rFonts w:ascii="Times New Roman" w:hAnsi="Times New Roman"/>
          <w:b w:val="false"/>
          <w:color w:val="000000"/>
          <w:sz w:val="24"/>
        </w:rPr>
        <w:t xml:space="preserve">is any matter, transaction or interest that is presented to, or acquired, created or developed by, or that otherwise comes into the possession (excluding through the Company or any of its Subsidiaries) of, any Investor Manager, the Investor Member or any of their Affiliates or any of their respective partners, members, directors, stockholders, employees, representatives or agents, and such Persons shall have no duty to communicate knowledge of an Excluded Opportunity to the Company or any of its Subsidiaries. For the avoidance of doubt, this </w:t>
      </w:r>
      <w:r>
        <w:rPr>
          <w:rFonts w:ascii="Times New Roman" w:hAnsi="Times New Roman"/>
          <w:b w:val="false"/>
          <w:color w:val="000000"/>
          <w:sz w:val="24"/>
          <w:u w:val="single"/>
        </w:rPr>
        <w:t>Section 4.06</w:t>
      </w:r>
      <w:r>
        <w:rPr>
          <w:rFonts w:ascii="Times New Roman" w:hAnsi="Times New Roman"/>
          <w:color w:val="000000"/>
          <w:sz w:val="24"/>
        </w:rPr>
        <w:t xml:space="preserve"> </w:t>
      </w:r>
      <w:r>
        <w:rPr>
          <w:rFonts w:ascii="Times New Roman" w:hAnsi="Times New Roman"/>
          <w:b w:val="false"/>
          <w:color w:val="000000"/>
          <w:sz w:val="24"/>
        </w:rPr>
        <w:t>does not apply to employees (including any Officers) of the Company or any of its Subsidiaries.</w:t>
      </w:r>
    </w:p>
    <w:p>
      <w:pPr>
        <w:pStyle w:val="Heading2"/>
        <w:bidi w:val="0"/>
        <w:spacing w:lineRule="auto" w:line="360" w:before="0" w:after="240"/>
        <w:jc w:val="both"/>
        <w:rPr>
          <w:rFonts w:ascii="Times New Roman" w:hAnsi="Times New Roman"/>
          <w:sz w:val="16"/>
        </w:rPr>
      </w:pPr>
      <w:r>
        <w:rPr>
          <w:rFonts w:ascii="Times New Roman" w:hAnsi="Times New Roman"/>
          <w:b w:val="false"/>
          <w:color w:val="000000"/>
          <w:sz w:val="24"/>
        </w:rPr>
        <w:t xml:space="preserve">Section 4.07 </w:t>
      </w:r>
      <w:r>
        <w:rPr>
          <w:rFonts w:ascii="Times New Roman" w:hAnsi="Times New Roman"/>
          <w:b w:val="false"/>
          <w:color w:val="000000"/>
          <w:sz w:val="24"/>
          <w:u w:val="single"/>
        </w:rPr>
        <w:t>Elimination of Liability and Fiduciary Duties</w:t>
      </w:r>
      <w:r>
        <w:rPr>
          <w:rFonts w:ascii="Times New Roman" w:hAnsi="Times New Roman"/>
          <w:b w:val="false"/>
          <w:color w:val="000000"/>
          <w:sz w:val="24"/>
        </w:rPr>
        <w:t>. The Managers (solely in such Managers’ capacity as Managers and not, where applicable, in any such Manager’s capacity as an Officer or employee of the Company or any of its Subsidiaries) and the Members (solely in such Members’ capacity as Members and not, where applicable, in any such Member’s capacity as an officer or employee) do not have any duties (including fiduciary duties) to any Member or the Company, and any duties or implied duties (including fiduciary duties) of a Manager or a Member (in such capacities) to the Company or to any Member that would otherwise apply at law or in equity are hereby eliminated to the fullest extent permitted under the Act (including Sections 18-1101(c) and (e) of the Act) and any other applicable Law; provided, however, that this Agreement does not limit or eliminate liability for any act or omission that constitutes a bad faith violation of the implied contractual covenant of good faith and fair dealing.</w:t>
      </w:r>
      <w:r>
        <w:rPr>
          <w:rFonts w:ascii="Times New Roman" w:hAnsi="Times New Roman"/>
          <w:color w:val="000000"/>
          <w:sz w:val="16"/>
        </w:rPr>
        <w:t xml:space="preserve"> </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5</w:t>
      </w:r>
      <w:r>
        <w:rPr>
          <w:rFonts w:ascii="Times New Roman" w:hAnsi="Times New Roman"/>
          <w:caps/>
          <w:color w:val="000000"/>
          <w:sz w:val="24"/>
          <w:u w:val="single"/>
        </w:rPr>
        <w:br/>
        <w:t>DISTRIBUTIONS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5.01 </w:t>
      </w:r>
      <w:r>
        <w:rPr>
          <w:rFonts w:ascii="Times New Roman" w:hAnsi="Times New Roman"/>
          <w:b w:val="false"/>
          <w:color w:val="000000"/>
          <w:sz w:val="24"/>
          <w:u w:val="single"/>
        </w:rPr>
        <w:t>Preferred Accruing Distributions.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The Preferred Members shall be entitled to receive cumulative preferential distributions in respect of their Preferred Units in the amounts set forth in this </w:t>
      </w:r>
      <w:r>
        <w:rPr>
          <w:rFonts w:ascii="Times New Roman" w:hAnsi="Times New Roman"/>
          <w:color w:val="000000"/>
          <w:sz w:val="24"/>
          <w:u w:val="single"/>
        </w:rPr>
        <w:t>Section 5.01</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From and after the Effective Date, each Series A/A1 Preferred Member shall be entitled to receive from the Company, with respect to each Series A/A1 Preferred Unit held by such Series A/A1 Preferred Member, prior and in preference to any declaration or payment of any Series B/B1 Accruing Distribution, a distribution in an amount equal to (i) the then outstanding Liquidation Preference with respect to such Series A/A1 Preferred Unit, </w:t>
      </w:r>
      <w:r>
        <w:rPr>
          <w:rFonts w:ascii="Times New Roman" w:hAnsi="Times New Roman"/>
          <w:i/>
          <w:color w:val="000000"/>
          <w:sz w:val="24"/>
          <w:u w:val="single"/>
        </w:rPr>
        <w:t>multiplied by</w:t>
      </w:r>
      <w:r>
        <w:rPr>
          <w:rFonts w:ascii="Times New Roman" w:hAnsi="Times New Roman"/>
          <w:color w:val="000000"/>
          <w:sz w:val="24"/>
        </w:rPr>
        <w:t xml:space="preserve"> (ii) the applicable Distribution Rate (or, if any Event of Default has occurred and remains outstanding, the Default Rate) (the “</w:t>
      </w:r>
      <w:r>
        <w:rPr>
          <w:rFonts w:ascii="Times New Roman" w:hAnsi="Times New Roman"/>
          <w:b/>
          <w:color w:val="000000"/>
          <w:sz w:val="24"/>
          <w:u w:val="single"/>
        </w:rPr>
        <w:t>Series A/A1 Accruing Distributions</w:t>
      </w:r>
      <w:r>
        <w:rPr>
          <w:rFonts w:ascii="Times New Roman" w:hAnsi="Times New Roman"/>
          <w:color w:val="000000"/>
          <w:sz w:val="24"/>
        </w:rPr>
        <w:t xml:space="preserve">”). Any Series A/A1 Accruing Distribution shall be paid in cash, shall accrue on a daily basis (whether or not declared), shall be cumulative and shall compound quarterly;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with respect to any amounts accruing during a quarter, the same shall only commence compounding as of the end of such quarter, unless all accrued but unpaid distributions on the Series A/A1 Preferred Units are declared and paid. Notwithstanding the foregoing or anything to contrary herein, and for the avoidance of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doubt, all accrued but unpaid distributions on the Series A Preferred Units that accrued under the Second LLC Agreement from and after July 16, 2026 (being the last Quarterly Distribution Date (as defined in the Second LLC Agreement) prior to the Effective Date) shall continue to accrue hereunder as Series A/A1 Accruing Distributions and shall be payable on October 16, 2026.</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From and after the Effective Date, each Series B/B1 Preferred Member shall be entitled to receive from the Company, with respect to each Series B/B1 Preferred Unit held by such Series B/B1 Preferred Member, a distribution in an amount equal to (i) the then outstanding Liquidation Preference with respect to such Series B/B1 Preferred Unit, </w:t>
      </w:r>
      <w:r>
        <w:rPr>
          <w:rFonts w:ascii="Times New Roman" w:hAnsi="Times New Roman"/>
          <w:i/>
          <w:color w:val="000000"/>
          <w:sz w:val="24"/>
          <w:u w:val="single"/>
        </w:rPr>
        <w:t>multiplied by</w:t>
      </w:r>
      <w:r>
        <w:rPr>
          <w:rFonts w:ascii="Times New Roman" w:hAnsi="Times New Roman"/>
          <w:color w:val="000000"/>
          <w:sz w:val="24"/>
        </w:rPr>
        <w:t xml:space="preserve"> (ii) the applicable Distribution Rate (or, if any Event of Default has occurred and remains outstanding, the Default Rate) (the “</w:t>
      </w:r>
      <w:r>
        <w:rPr>
          <w:rFonts w:ascii="Times New Roman" w:hAnsi="Times New Roman"/>
          <w:b/>
          <w:color w:val="000000"/>
          <w:sz w:val="24"/>
          <w:u w:val="single"/>
        </w:rPr>
        <w:t>Series B/B1 Accruing Distributions</w:t>
      </w:r>
      <w:r>
        <w:rPr>
          <w:rFonts w:ascii="Times New Roman" w:hAnsi="Times New Roman"/>
          <w:color w:val="000000"/>
          <w:sz w:val="24"/>
        </w:rPr>
        <w:t xml:space="preserve">”). Any Series B/B1 Accruing Distribution shall be paid in cash, shall accrue on a daily basis (whether or not declared), shall be cumulative and shall compound quarterly;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with respect to any amounts accruing during a quarter, the same shall only commence compounding as of the end of such quarter, unless all accrued but unpaid distributions on the Series B/B1 Preferred Units are declared and paid. Notwithstanding the foregoing or anything to the contrary herein, and for the avoidance of doubt, all accrued but unpaid distributions on the Series B Preferred Units that accrued under the Second LLC Agreement from and after July 16, 2026 (being the last Quarterly Distribution Date (as defined in the Second LLC Agreement) prior to the Effective Date) shall continue to accrue hereunder as Series B/B1 Accruing Distributions and shall be payable on October 16, 2026.</w:t>
      </w:r>
    </w:p>
    <w:p>
      <w:pPr>
        <w:pStyle w:val="TextBody"/>
        <w:bidi w:val="0"/>
        <w:spacing w:before="0" w:after="240"/>
        <w:jc w:val="both"/>
        <w:rPr>
          <w:rFonts w:ascii="Times New Roman" w:hAnsi="Times New Roman"/>
          <w:sz w:val="24"/>
        </w:rPr>
      </w:pPr>
      <w:r>
        <w:rPr>
          <w:rFonts w:ascii="Times New Roman" w:hAnsi="Times New Roman"/>
          <w:color w:val="000000"/>
          <w:sz w:val="24"/>
        </w:rPr>
        <w:t>(d) From and after the Effective Date, (i) the Series A/A1 Accruing Distributions shall be payable on a quarterly basis, on the 16th day of each of January, April, July and October following the Effective Date (each, a “</w:t>
      </w:r>
      <w:r>
        <w:rPr>
          <w:rFonts w:ascii="Times New Roman" w:hAnsi="Times New Roman"/>
          <w:b/>
          <w:color w:val="000000"/>
          <w:sz w:val="24"/>
          <w:u w:val="single"/>
        </w:rPr>
        <w:t>Quarterly Distribution Date</w:t>
      </w:r>
      <w:r>
        <w:rPr>
          <w:rFonts w:ascii="Times New Roman" w:hAnsi="Times New Roman"/>
          <w:color w:val="000000"/>
          <w:sz w:val="24"/>
        </w:rPr>
        <w:t xml:space="preserve">”) (unless such day is not a Business Day, in which case, such Series A/A1 Accruing Distributions shall be paid on the next Business Day) and (ii) the Series B/B1 Accruing Distributions shall be payable, if declared by the Board of Managers, on a quarterly basis on each Quarterly Distribution Date (unless such day is not a Business Day, in which case, such Series B/B1 Accruing Distributions shall be paid on the next Business Day);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the Company shall not pay any Series B/B1 Accruing Distributions if any Series A/A1 Accruing Distributions have not been declared and paid;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first Quarterly Distribution Date in respect of any Series A/A1 Preferred Units and Series B/B1 Preferred Units shall be October 16,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If the Company fails to declare and pay any Preferred Accruing Distribution on any Preferred Unit in full on the applicable Quarterly Distribution Date, such Preferred Accruing Distribution shall be added to the then outstanding Liquidation Preference of such Preferred Unit pursuant to clause (a)(ii) or clause (b)(ii) (as applicable) of the definition of Liquidation Preference.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5.02 </w:t>
      </w:r>
      <w:r>
        <w:rPr>
          <w:rFonts w:ascii="Times New Roman" w:hAnsi="Times New Roman"/>
          <w:b w:val="false"/>
          <w:color w:val="000000"/>
          <w:sz w:val="24"/>
          <w:u w:val="single"/>
        </w:rPr>
        <w:t>General Distributions</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3.09(b)</w:t>
      </w:r>
      <w:r>
        <w:rPr>
          <w:rFonts w:ascii="Times New Roman" w:hAnsi="Times New Roman"/>
          <w:b w:val="false"/>
          <w:color w:val="000000"/>
          <w:sz w:val="24"/>
        </w:rPr>
        <w:t xml:space="preserve">, </w:t>
      </w:r>
      <w:r>
        <w:rPr>
          <w:rFonts w:ascii="Times New Roman" w:hAnsi="Times New Roman"/>
          <w:b w:val="false"/>
          <w:color w:val="000000"/>
          <w:sz w:val="24"/>
          <w:u w:val="single"/>
        </w:rPr>
        <w:t>Section 5.01</w:t>
      </w:r>
      <w:r>
        <w:rPr>
          <w:rFonts w:ascii="Times New Roman" w:hAnsi="Times New Roman"/>
          <w:b w:val="false"/>
          <w:color w:val="000000"/>
          <w:sz w:val="24"/>
        </w:rPr>
        <w:t xml:space="preserve">, </w:t>
      </w:r>
      <w:r>
        <w:rPr>
          <w:rFonts w:ascii="Times New Roman" w:hAnsi="Times New Roman"/>
          <w:b w:val="false"/>
          <w:color w:val="000000"/>
          <w:sz w:val="24"/>
          <w:u w:val="single"/>
        </w:rPr>
        <w:t>Section 5.03</w:t>
      </w:r>
      <w:r>
        <w:rPr>
          <w:rFonts w:ascii="Times New Roman" w:hAnsi="Times New Roman"/>
          <w:b w:val="false"/>
          <w:color w:val="000000"/>
          <w:sz w:val="24"/>
        </w:rPr>
        <w:t xml:space="preserve">, </w:t>
      </w:r>
      <w:r>
        <w:rPr>
          <w:rFonts w:ascii="Times New Roman" w:hAnsi="Times New Roman"/>
          <w:b w:val="false"/>
          <w:color w:val="000000"/>
          <w:sz w:val="24"/>
          <w:u w:val="single"/>
        </w:rPr>
        <w:t>Section 5.04</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5.05</w:t>
      </w:r>
      <w:r>
        <w:rPr>
          <w:rFonts w:ascii="Times New Roman" w:hAnsi="Times New Roman"/>
          <w:b w:val="false"/>
          <w:color w:val="000000"/>
          <w:sz w:val="24"/>
        </w:rPr>
        <w:t>, at any time when (x) the Liquidation Preference of each Series A/A1 Preferred Unit is equal to the Series A Preferred Stated Value or Series A1 Preferred Stated Value (as applicable), and (y) the Liquidation Preference of each Series B/B1 Preferred Unit is equal to the Series B Preferred Stated Value or Series B1 Preferred Stated Value (as applicable),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the Company may distribute Excess Cash, at the time or times and in such amounts determined by the Board of Managers, to the Common Members </w:t>
      </w:r>
      <w:r>
        <w:rPr>
          <w:rFonts w:ascii="Times New Roman" w:hAnsi="Times New Roman"/>
          <w:b w:val="false"/>
          <w:i/>
          <w:color w:val="000000"/>
          <w:sz w:val="24"/>
        </w:rPr>
        <w:t>pro rata</w:t>
      </w:r>
      <w:r>
        <w:rPr>
          <w:rFonts w:ascii="Times New Roman" w:hAnsi="Times New Roman"/>
          <w:color w:val="000000"/>
          <w:sz w:val="24"/>
        </w:rPr>
        <w:t xml:space="preserve"> </w:t>
      </w:r>
      <w:r>
        <w:rPr>
          <w:rFonts w:ascii="Times New Roman" w:hAnsi="Times New Roman"/>
          <w:b w:val="false"/>
          <w:color w:val="000000"/>
          <w:sz w:val="24"/>
        </w:rPr>
        <w:t>in accordance with the number of Common Units held by each such Member. The Company is not otherwise permitted to make distributions in respect of its Common Units.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5.03 </w:t>
      </w:r>
      <w:r>
        <w:rPr>
          <w:rFonts w:ascii="Times New Roman" w:hAnsi="Times New Roman"/>
          <w:b w:val="false"/>
          <w:color w:val="000000"/>
          <w:sz w:val="24"/>
          <w:u w:val="single"/>
        </w:rPr>
        <w:t>Restricted Distributions</w:t>
      </w:r>
      <w:r>
        <w:rPr>
          <w:rFonts w:ascii="Times New Roman" w:hAnsi="Times New Roman"/>
          <w:b w:val="false"/>
          <w:color w:val="000000"/>
          <w:sz w:val="24"/>
        </w:rPr>
        <w:t>. Notwithstanding anything to the contrary contained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and the Board of Managers on behalf of the Company, shall not make a distribution to any Member if such distribution would violate the Act or other applicable Law;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for so long as there are any issued and outstanding Preferred Units, the Company shall not declare, pay or set aside any distributions of Excess Cash on any equity Securities (including the Common Units) that rank junior to the Series B/B1 Preferred Units,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5.04 </w:t>
      </w:r>
      <w:r>
        <w:rPr>
          <w:rFonts w:ascii="Times New Roman" w:hAnsi="Times New Roman"/>
          <w:b w:val="false"/>
          <w:color w:val="000000"/>
          <w:sz w:val="24"/>
          <w:u w:val="single"/>
        </w:rPr>
        <w:t>Distributions of Securities</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5.01</w:t>
      </w:r>
      <w:r>
        <w:rPr>
          <w:rFonts w:ascii="Times New Roman" w:hAnsi="Times New Roman"/>
          <w:b w:val="false"/>
          <w:color w:val="000000"/>
          <w:sz w:val="24"/>
        </w:rPr>
        <w:t xml:space="preserve">, the Board of Managers is authorized, subject at all times to the prior written consent of the Investor Member, to make non-cash distributions under </w:t>
      </w:r>
      <w:r>
        <w:rPr>
          <w:rFonts w:ascii="Times New Roman" w:hAnsi="Times New Roman"/>
          <w:b w:val="false"/>
          <w:color w:val="000000"/>
          <w:sz w:val="24"/>
          <w:u w:val="single"/>
        </w:rPr>
        <w:t>Section 5.02</w:t>
      </w:r>
      <w:r>
        <w:rPr>
          <w:rFonts w:ascii="Times New Roman" w:hAnsi="Times New Roman"/>
          <w:color w:val="000000"/>
          <w:sz w:val="24"/>
        </w:rPr>
        <w:t xml:space="preserve"> </w:t>
      </w:r>
      <w:r>
        <w:rPr>
          <w:rFonts w:ascii="Times New Roman" w:hAnsi="Times New Roman"/>
          <w:b w:val="false"/>
          <w:color w:val="000000"/>
          <w:sz w:val="24"/>
        </w:rPr>
        <w:t xml:space="preserve">to the Common Members (including in the form of Securities or other property received or otherwise held by the Company); provided, that, in the event of any such non-cash distribution, any Securities or other property shall be valued at the fair market value thereof and shall be distributed to the Members in the same proportions that cash received upon the sale of such Securities or other property at such fair market value would have been distributed pursuant to </w:t>
      </w:r>
      <w:r>
        <w:rPr>
          <w:rFonts w:ascii="Times New Roman" w:hAnsi="Times New Roman"/>
          <w:b w:val="false"/>
          <w:color w:val="000000"/>
          <w:sz w:val="24"/>
          <w:u w:val="single"/>
        </w:rPr>
        <w:t>Section 5.02</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5.05 </w:t>
      </w:r>
      <w:r>
        <w:rPr>
          <w:rFonts w:ascii="Times New Roman" w:hAnsi="Times New Roman"/>
          <w:b w:val="false"/>
          <w:color w:val="000000"/>
          <w:sz w:val="24"/>
          <w:u w:val="single"/>
        </w:rPr>
        <w:t>Distributions upon a Liquidation Event</w:t>
      </w:r>
      <w:r>
        <w:rPr>
          <w:rFonts w:ascii="Times New Roman" w:hAnsi="Times New Roman"/>
          <w:b w:val="false"/>
          <w:color w:val="000000"/>
          <w:sz w:val="24"/>
        </w:rPr>
        <w:t>. Notwithstanding anything to the contrary herein: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in the event of (i) any voluntary or involuntary liquidation, dissolution or winding up of the Company, the Series A/A1 Preferred Members shall be entitled to be paid out of the assets of the Company available for distribution to its Members, and (ii) any Change of Control of the Company, the Series A/A1 Preferred Members shall be entitled to be paid out of the consideration payable to the Members in such Change of Control, as applicable, and before any payment shall be made to the holders of Series B/B1 Preferred Units or the holders of Common Units, by reason of their ownership thereof, an amount per Series A/A1 Preferred Unit equal to the Liquidation Preference of such Series A/A1 Preferred Unit. If upon any such liquidation, dissolution or winding up of the Company or Change of Control of the Company (as applicable), the assets of the Company available for distribution to its Members shall be insufficient to pay the Series A/A1 Preferred Members the full amount to which they are entitled to under this </w:t>
      </w:r>
      <w:r>
        <w:rPr>
          <w:rFonts w:ascii="Times New Roman" w:hAnsi="Times New Roman"/>
          <w:color w:val="000000"/>
          <w:sz w:val="24"/>
          <w:u w:val="single"/>
        </w:rPr>
        <w:t>Section 5.05(a)</w:t>
      </w:r>
      <w:r>
        <w:rPr>
          <w:rFonts w:ascii="Times New Roman" w:hAnsi="Times New Roman"/>
          <w:color w:val="000000"/>
          <w:sz w:val="24"/>
        </w:rPr>
        <w:t>, the Series A/A1 Preferred Members shall share ratably in any distribution of the assets available for distribution in proportion to the respective amounts which would otherwise be payable in respect of the Series A/A1 Preferred Units held by them upon such distribution if all amounts payable on or with respect to such Series A/A1 Preferred Units were paid in full.</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in the event of (i) any voluntary or involuntary liquidation, dissolution or winding up of the Company, the Series B/B1 Preferred Members shall be entitled to be paid out of the assets of the Company available for distribution to its Members, and (ii) any Change of Control of the Company, the Series B/B1 Preferred Members shall be entitled to be paid out of the consideration payable to the Members in such Change of Control, as applicable, after completion of the payments and/or distributions required by </w:t>
      </w:r>
      <w:r>
        <w:rPr>
          <w:rFonts w:ascii="Times New Roman" w:hAnsi="Times New Roman"/>
          <w:color w:val="000000"/>
          <w:sz w:val="24"/>
          <w:u w:val="single"/>
        </w:rPr>
        <w:t>Section 5.05(a)</w:t>
      </w:r>
      <w:r>
        <w:rPr>
          <w:rFonts w:ascii="Times New Roman" w:hAnsi="Times New Roman"/>
          <w:color w:val="000000"/>
          <w:sz w:val="24"/>
        </w:rPr>
        <w:t xml:space="preserve"> but before any payment shall be made to the holders of Common Units, by reason of their ownership thereof, an amount per Series B/B1 Preferred Unit equal to the greater of (A) the Liquidation Preference of such Series B/B1 Preferred Unit, or (B) such amount per Series B/B1 Preferred Unit as would have been payable had all Series B/B1 Preferred Units been converted into Common Units pursuant to </w:t>
      </w:r>
      <w:r>
        <w:rPr>
          <w:rFonts w:ascii="Times New Roman" w:hAnsi="Times New Roman"/>
          <w:color w:val="000000"/>
          <w:sz w:val="24"/>
          <w:u w:val="single"/>
        </w:rPr>
        <w:t>Section 3.08(a)</w:t>
      </w:r>
      <w:r>
        <w:rPr>
          <w:rFonts w:ascii="Times New Roman" w:hAnsi="Times New Roman"/>
          <w:color w:val="000000"/>
          <w:sz w:val="24"/>
        </w:rPr>
        <w:t xml:space="preserve"> or </w:t>
      </w:r>
      <w:r>
        <w:rPr>
          <w:rFonts w:ascii="Times New Roman" w:hAnsi="Times New Roman"/>
          <w:color w:val="000000"/>
          <w:sz w:val="24"/>
          <w:u w:val="single"/>
        </w:rPr>
        <w:t>Section 8.06(b)</w:t>
      </w:r>
      <w:r>
        <w:rPr>
          <w:rFonts w:ascii="Times New Roman" w:hAnsi="Times New Roman"/>
          <w:color w:val="000000"/>
          <w:sz w:val="24"/>
        </w:rPr>
        <w:t xml:space="preserve"> (as applicable) immediately prior to such liquidation, dissolution, winding up or Change of Control of the Company (as applicable). If upon any such liquidation, dissolution or winding up of the Company or Change of Control of the Company (as applicable), the assets of the Company available for distribution to its Members shall be insufficient to pay the Series B/B1 Preferred Members the full amount to which they are entitled to under this </w:t>
      </w:r>
      <w:r>
        <w:rPr>
          <w:rFonts w:ascii="Times New Roman" w:hAnsi="Times New Roman"/>
          <w:color w:val="000000"/>
          <w:sz w:val="24"/>
          <w:u w:val="single"/>
        </w:rPr>
        <w:t>Section 5.05(b)</w:t>
      </w:r>
      <w:r>
        <w:rPr>
          <w:rFonts w:ascii="Times New Roman" w:hAnsi="Times New Roman"/>
          <w:color w:val="000000"/>
          <w:sz w:val="24"/>
        </w:rPr>
        <w:t>, the Series B/B1 Preferred Members shall share ratably in any distribution of the assets available for distribution in proportion to the respective amounts which would otherwise be payable in respect of the Series B/B1 Preferred Units held by them upon such distribution if all amounts payable on or with respect to such Series B/B1 Preferred Units were paid in full.</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In the event of any voluntary or involuntary liquidation, dissolution or winding up of the Company, after the payment in full of all amounts required to be paid to the Preferred Members pursuant to </w:t>
      </w:r>
      <w:r>
        <w:rPr>
          <w:rFonts w:ascii="Times New Roman" w:hAnsi="Times New Roman"/>
          <w:color w:val="000000"/>
          <w:sz w:val="24"/>
          <w:u w:val="single"/>
        </w:rPr>
        <w:t>Section 5.05(a)</w:t>
      </w:r>
      <w:r>
        <w:rPr>
          <w:rFonts w:ascii="Times New Roman" w:hAnsi="Times New Roman"/>
          <w:color w:val="000000"/>
          <w:sz w:val="24"/>
        </w:rPr>
        <w:t xml:space="preserve"> and </w:t>
      </w:r>
      <w:r>
        <w:rPr>
          <w:rFonts w:ascii="Times New Roman" w:hAnsi="Times New Roman"/>
          <w:color w:val="000000"/>
          <w:sz w:val="24"/>
          <w:u w:val="single"/>
        </w:rPr>
        <w:t>Section 5.05(b)</w:t>
      </w:r>
      <w:r>
        <w:rPr>
          <w:rFonts w:ascii="Times New Roman" w:hAnsi="Times New Roman"/>
          <w:color w:val="000000"/>
          <w:sz w:val="24"/>
        </w:rPr>
        <w:t xml:space="preserve">, the remaining assets of the Company available for distribution to its Members or, in the case of a Change of Control of the Company, the consideration not payable to the Preferred Members pursuant to </w:t>
      </w:r>
      <w:r>
        <w:rPr>
          <w:rFonts w:ascii="Times New Roman" w:hAnsi="Times New Roman"/>
          <w:color w:val="000000"/>
          <w:sz w:val="24"/>
          <w:u w:val="single"/>
        </w:rPr>
        <w:t>Section 5.05(a)</w:t>
      </w:r>
      <w:r>
        <w:rPr>
          <w:rFonts w:ascii="Times New Roman" w:hAnsi="Times New Roman"/>
          <w:color w:val="000000"/>
          <w:sz w:val="24"/>
        </w:rPr>
        <w:t xml:space="preserve"> and </w:t>
      </w:r>
      <w:r>
        <w:rPr>
          <w:rFonts w:ascii="Times New Roman" w:hAnsi="Times New Roman"/>
          <w:color w:val="000000"/>
          <w:sz w:val="24"/>
          <w:u w:val="single"/>
        </w:rPr>
        <w:t>Section 5.05(b)</w:t>
      </w:r>
      <w:r>
        <w:rPr>
          <w:rFonts w:ascii="Times New Roman" w:hAnsi="Times New Roman"/>
          <w:color w:val="000000"/>
          <w:sz w:val="24"/>
        </w:rPr>
        <w:t>, as the case may be, shall be distributed among the Common Members, pro rata based on the number of Common Units held by each such Member.</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6</w:t>
      </w:r>
      <w:r>
        <w:rPr>
          <w:rFonts w:ascii="Times New Roman" w:hAnsi="Times New Roman"/>
          <w:caps/>
          <w:color w:val="000000"/>
          <w:sz w:val="24"/>
          <w:u w:val="single"/>
        </w:rPr>
        <w:br/>
        <w:t>ACCOUNTING AND TAX MATTERS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6.01 </w:t>
      </w:r>
      <w:r>
        <w:rPr>
          <w:rFonts w:ascii="Times New Roman" w:hAnsi="Times New Roman"/>
          <w:b w:val="false"/>
          <w:color w:val="000000"/>
          <w:sz w:val="24"/>
          <w:u w:val="single"/>
        </w:rPr>
        <w:t>Books and Records</w:t>
      </w:r>
      <w:r>
        <w:rPr>
          <w:rFonts w:ascii="Times New Roman" w:hAnsi="Times New Roman"/>
          <w:b w:val="false"/>
          <w:color w:val="000000"/>
          <w:sz w:val="24"/>
        </w:rPr>
        <w:t xml:space="preserve">. At all times during the existence of the Company, the Company shall maintain, at its principal place of business, separate books of account for the Company. Subject to reasonable confidentiality restrictions established by the Board of Managers acting reasonably and in good faith (including as permitted by Section 18-305(c) of the Act), each Member and its respective agents and representatives shall be afforded access to the Company’s properties, books and records applicable to such Member for any proper purpose reasonably related to such Member’s interest as a Member of the Company, at any reasonable time during regular business hours upon reasonable written notice to the Board of Managers. Any information obtained by a Member pursuant to this </w:t>
      </w:r>
      <w:r>
        <w:rPr>
          <w:rFonts w:ascii="Times New Roman" w:hAnsi="Times New Roman"/>
          <w:b w:val="false"/>
          <w:color w:val="000000"/>
          <w:sz w:val="24"/>
          <w:u w:val="single"/>
        </w:rPr>
        <w:t>Section 6.01</w:t>
      </w:r>
      <w:r>
        <w:rPr>
          <w:rFonts w:ascii="Times New Roman" w:hAnsi="Times New Roman"/>
          <w:color w:val="000000"/>
          <w:sz w:val="24"/>
        </w:rPr>
        <w:t xml:space="preserve"> </w:t>
      </w:r>
      <w:r>
        <w:rPr>
          <w:rFonts w:ascii="Times New Roman" w:hAnsi="Times New Roman"/>
          <w:b w:val="false"/>
          <w:color w:val="000000"/>
          <w:sz w:val="24"/>
        </w:rPr>
        <w:t xml:space="preserve">shall be subject to the confidentiality obligations set forth in </w:t>
      </w:r>
      <w:r>
        <w:rPr>
          <w:rFonts w:ascii="Times New Roman" w:hAnsi="Times New Roman"/>
          <w:b w:val="false"/>
          <w:color w:val="000000"/>
          <w:sz w:val="24"/>
          <w:u w:val="single"/>
        </w:rPr>
        <w:t>Section 12.01</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6.02 </w:t>
      </w:r>
      <w:r>
        <w:rPr>
          <w:rFonts w:ascii="Times New Roman" w:hAnsi="Times New Roman"/>
          <w:b w:val="false"/>
          <w:color w:val="000000"/>
          <w:sz w:val="24"/>
          <w:u w:val="single"/>
        </w:rPr>
        <w:t>Tax Returns</w:t>
      </w:r>
      <w:r>
        <w:rPr>
          <w:rFonts w:ascii="Times New Roman" w:hAnsi="Times New Roman"/>
          <w:b w:val="false"/>
          <w:color w:val="000000"/>
          <w:sz w:val="24"/>
        </w:rPr>
        <w:t>. The Board of Managers, at the expense of the Company, shall endeavor to cause the preparation and timely filing (including extensions) of all tax returns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required to be filed by the Company pursuant to the Code as well as all other required tax returns in each jurisdiction in which the Company owns property or does business.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6.03 </w:t>
      </w:r>
      <w:r>
        <w:rPr>
          <w:rFonts w:ascii="Times New Roman" w:hAnsi="Times New Roman"/>
          <w:b w:val="false"/>
          <w:color w:val="000000"/>
          <w:sz w:val="24"/>
          <w:u w:val="single"/>
        </w:rPr>
        <w:t>Withholding Tax Payments and Obligations</w:t>
      </w:r>
      <w:r>
        <w:rPr>
          <w:rFonts w:ascii="Times New Roman" w:hAnsi="Times New Roman"/>
          <w:b w:val="false"/>
          <w:color w:val="000000"/>
          <w:sz w:val="24"/>
        </w:rPr>
        <w:t>. In the event that withholding taxes are paid or required to be paid in respect of amounts earned or distributed by the Company, or the Company is required by Law to make tax payments (including any interest or penalties thereon or additions thereto) on behalf of or with respect to any Member, such payments or obligations shall be treated as follows: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Payments by the Company</w:t>
      </w:r>
      <w:r>
        <w:rPr>
          <w:rFonts w:ascii="Times New Roman" w:hAnsi="Times New Roman"/>
          <w:color w:val="000000"/>
          <w:sz w:val="24"/>
        </w:rPr>
        <w:t xml:space="preserve">. The Company is authorized to withhold from any payment made to, or any distributive share of, a Member any taxes and any associated interest or penalties required by Law to be withheld or paid by the Company that are attributable (as reasonably determined by the Board of Managers) to such Member. If, and to the extent, the Company is required to make any such tax payments with respect to any distribution to a Member, then at the election of the Company, either (i) such Member’s proportionate share of such distribution shall be reduced by the amount of such tax payments (which tax payments shall be treated, subject to </w:t>
      </w:r>
      <w:r>
        <w:rPr>
          <w:rFonts w:ascii="Times New Roman" w:hAnsi="Times New Roman"/>
          <w:color w:val="000000"/>
          <w:sz w:val="24"/>
          <w:u w:val="single"/>
        </w:rPr>
        <w:t>Section 6.03(c)</w:t>
      </w:r>
      <w:r>
        <w:rPr>
          <w:rFonts w:ascii="Times New Roman" w:hAnsi="Times New Roman"/>
          <w:color w:val="000000"/>
          <w:sz w:val="24"/>
        </w:rPr>
        <w:t xml:space="preserve">, as a distribution to such Member pursuant to </w:t>
      </w:r>
      <w:r>
        <w:rPr>
          <w:rFonts w:ascii="Times New Roman" w:hAnsi="Times New Roman"/>
          <w:color w:val="000000"/>
          <w:sz w:val="24"/>
          <w:u w:val="single"/>
        </w:rPr>
        <w:t>Section 5.01</w:t>
      </w:r>
      <w:r>
        <w:rPr>
          <w:rFonts w:ascii="Times New Roman" w:hAnsi="Times New Roman"/>
          <w:color w:val="000000"/>
          <w:sz w:val="24"/>
        </w:rPr>
        <w:t xml:space="preserve"> or </w:t>
      </w:r>
      <w:r>
        <w:rPr>
          <w:rFonts w:ascii="Times New Roman" w:hAnsi="Times New Roman"/>
          <w:color w:val="000000"/>
          <w:sz w:val="24"/>
          <w:u w:val="single"/>
        </w:rPr>
        <w:t>Section 5.02</w:t>
      </w:r>
      <w:r>
        <w:rPr>
          <w:rFonts w:ascii="Times New Roman" w:hAnsi="Times New Roman"/>
          <w:color w:val="000000"/>
          <w:sz w:val="24"/>
        </w:rPr>
        <w:t>, as the case may be), or (ii) such Member shall pay to the Company prior to such distribution an amount of cash equal to such tax payments (which payment of cash shall not be deemed a Capital Contribution for purposes hereof and shall not reduce mandatory Capital Contributions).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Payments to the Company</w:t>
      </w:r>
      <w:r>
        <w:rPr>
          <w:rFonts w:ascii="Times New Roman" w:hAnsi="Times New Roman"/>
          <w:color w:val="000000"/>
          <w:sz w:val="24"/>
        </w:rPr>
        <w:t xml:space="preserve">. If the Company receives proceeds in respect of which a tax has been withheld, including any withholding taxes imposed as a result of a failure by a Member to provide information or take other actions requested by the Board of Managers in order to reduce or eliminate withholding, the Company shall be treated as having received cash in an amount equal to such proceeds </w:t>
      </w:r>
      <w:r>
        <w:rPr>
          <w:rFonts w:ascii="Times New Roman" w:hAnsi="Times New Roman"/>
          <w:i/>
          <w:color w:val="000000"/>
          <w:sz w:val="24"/>
        </w:rPr>
        <w:t>plus</w:t>
      </w:r>
      <w:r>
        <w:rPr>
          <w:rFonts w:ascii="Times New Roman" w:hAnsi="Times New Roman"/>
          <w:color w:val="000000"/>
          <w:sz w:val="24"/>
        </w:rPr>
        <w:t xml:space="preserve"> the amount of such withheld tax (and the portion of the withholding tax allocable to such Member shall be treated, subject to </w:t>
      </w:r>
      <w:r>
        <w:rPr>
          <w:rFonts w:ascii="Times New Roman" w:hAnsi="Times New Roman"/>
          <w:color w:val="000000"/>
          <w:sz w:val="24"/>
          <w:u w:val="single"/>
        </w:rPr>
        <w:t>Section 6.03(c)</w:t>
      </w:r>
      <w:r>
        <w:rPr>
          <w:rFonts w:ascii="Times New Roman" w:hAnsi="Times New Roman"/>
          <w:color w:val="000000"/>
          <w:sz w:val="24"/>
        </w:rPr>
        <w:t xml:space="preserve">, as a distribution to such Member pursuant to </w:t>
      </w:r>
      <w:r>
        <w:rPr>
          <w:rFonts w:ascii="Times New Roman" w:hAnsi="Times New Roman"/>
          <w:color w:val="000000"/>
          <w:sz w:val="24"/>
          <w:u w:val="single"/>
        </w:rPr>
        <w:t>Section 5.01</w:t>
      </w:r>
      <w:r>
        <w:rPr>
          <w:rFonts w:ascii="Times New Roman" w:hAnsi="Times New Roman"/>
          <w:color w:val="000000"/>
          <w:sz w:val="24"/>
        </w:rPr>
        <w:t xml:space="preserve"> or </w:t>
      </w:r>
      <w:r>
        <w:rPr>
          <w:rFonts w:ascii="Times New Roman" w:hAnsi="Times New Roman"/>
          <w:color w:val="000000"/>
          <w:sz w:val="24"/>
          <w:u w:val="single"/>
        </w:rPr>
        <w:t>Section 5.02</w:t>
      </w:r>
      <w:r>
        <w:rPr>
          <w:rFonts w:ascii="Times New Roman" w:hAnsi="Times New Roman"/>
          <w:color w:val="000000"/>
          <w:sz w:val="24"/>
        </w:rPr>
        <w:t>, as the case may be).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Certain Taxes Treated as Demand Loans</w:t>
      </w:r>
      <w:r>
        <w:rPr>
          <w:rFonts w:ascii="Times New Roman" w:hAnsi="Times New Roman"/>
          <w:color w:val="000000"/>
          <w:sz w:val="24"/>
        </w:rPr>
        <w:t xml:space="preserve">. Any taxes withheld or paid by the Company pursuant to </w:t>
      </w:r>
      <w:r>
        <w:rPr>
          <w:rFonts w:ascii="Times New Roman" w:hAnsi="Times New Roman"/>
          <w:color w:val="000000"/>
          <w:sz w:val="24"/>
          <w:u w:val="single"/>
        </w:rPr>
        <w:t>Section 6.03(a)</w:t>
      </w:r>
      <w:r>
        <w:rPr>
          <w:rFonts w:ascii="Times New Roman" w:hAnsi="Times New Roman"/>
          <w:color w:val="000000"/>
          <w:sz w:val="24"/>
        </w:rPr>
        <w:t xml:space="preserve">, but not reimbursed as provided for under </w:t>
      </w:r>
      <w:r>
        <w:rPr>
          <w:rFonts w:ascii="Times New Roman" w:hAnsi="Times New Roman"/>
          <w:color w:val="000000"/>
          <w:sz w:val="24"/>
          <w:u w:val="single"/>
        </w:rPr>
        <w:t>Section 6.03(a)(ii)</w:t>
      </w:r>
      <w:r>
        <w:rPr>
          <w:rFonts w:ascii="Times New Roman" w:hAnsi="Times New Roman"/>
          <w:color w:val="000000"/>
          <w:sz w:val="24"/>
        </w:rPr>
        <w:t>, shall be treated as if distributed to the relevant Member to the extent an amount equal to such withheld taxes would then be distributable to such Member and, to the extent taxes are withheld or paid by the Company in excess of such distributable amounts, as a demand loan payable by the Member to the Company with interest at the lesser of (i) the Prime Rate in effect from time to time plus two percent (2%), compounded quarterly, and (ii) the highest rate per annum permitted by Law. The Board of Managers may, in its discretion, either (x) demand payment of the principal and accrued interest on such demand loan at any time, and enforce payment thereof by legal process, or (y) withhold from one or more distributions or payments to a Member amounts sufficient to satisfy such Member’s obligations under any such demand loan.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Indemnity</w:t>
      </w:r>
      <w:r>
        <w:rPr>
          <w:rFonts w:ascii="Times New Roman" w:hAnsi="Times New Roman"/>
          <w:color w:val="000000"/>
          <w:sz w:val="24"/>
        </w:rPr>
        <w:t xml:space="preserve">. In the event that the Company, or the Board of Managers or any Affiliate thereof, becomes liable as a result of a failure to withhold and remit or pay taxes on behalf of or in respect of any Member, then such Member, in addition to and without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limiting any indemnities for which such Member may be liable under this </w:t>
      </w:r>
      <w:r>
        <w:rPr>
          <w:rFonts w:ascii="Times New Roman" w:hAnsi="Times New Roman"/>
          <w:color w:val="000000"/>
          <w:sz w:val="24"/>
          <w:u w:val="single"/>
        </w:rPr>
        <w:t>Section 6.03</w:t>
      </w:r>
      <w:r>
        <w:rPr>
          <w:rFonts w:ascii="Times New Roman" w:hAnsi="Times New Roman"/>
          <w:color w:val="000000"/>
          <w:sz w:val="24"/>
        </w:rPr>
        <w:t xml:space="preserve">, such Member shall indemnify and hold harmless the Company, or the Board of Managers or such Affiliate, as the case may be, in respect of all taxes (not otherwise indemnified or reimbursed pursuant to this </w:t>
      </w:r>
      <w:r>
        <w:rPr>
          <w:rFonts w:ascii="Times New Roman" w:hAnsi="Times New Roman"/>
          <w:color w:val="000000"/>
          <w:sz w:val="24"/>
          <w:u w:val="single"/>
        </w:rPr>
        <w:t>Section 6.03</w:t>
      </w:r>
      <w:r>
        <w:rPr>
          <w:rFonts w:ascii="Times New Roman" w:hAnsi="Times New Roman"/>
          <w:color w:val="000000"/>
          <w:sz w:val="24"/>
        </w:rPr>
        <w:t xml:space="preserve">), including interest, penalties, and additions to tax, and any expenses incurred in any examination, determination, resolution and payment of such liability.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Survival</w:t>
      </w:r>
      <w:r>
        <w:rPr>
          <w:rFonts w:ascii="Times New Roman" w:hAnsi="Times New Roman"/>
          <w:color w:val="000000"/>
          <w:sz w:val="24"/>
        </w:rPr>
        <w:t xml:space="preserve">. The provisions contained in this </w:t>
      </w:r>
      <w:r>
        <w:rPr>
          <w:rFonts w:ascii="Times New Roman" w:hAnsi="Times New Roman"/>
          <w:color w:val="000000"/>
          <w:sz w:val="24"/>
          <w:u w:val="single"/>
        </w:rPr>
        <w:t>Section 6.03</w:t>
      </w:r>
      <w:r>
        <w:rPr>
          <w:rFonts w:ascii="Times New Roman" w:hAnsi="Times New Roman"/>
          <w:color w:val="000000"/>
          <w:sz w:val="24"/>
        </w:rPr>
        <w:t xml:space="preserve"> shall survive the termination of the Company and the withdrawal of any Member.</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6.04 </w:t>
      </w:r>
      <w:r>
        <w:rPr>
          <w:rFonts w:ascii="Times New Roman" w:hAnsi="Times New Roman"/>
          <w:b w:val="false"/>
          <w:color w:val="000000"/>
          <w:sz w:val="24"/>
          <w:u w:val="single"/>
        </w:rPr>
        <w:t>Other Member Obligations</w:t>
      </w:r>
      <w:r>
        <w:rPr>
          <w:rFonts w:ascii="Times New Roman" w:hAnsi="Times New Roman"/>
          <w:b w:val="false"/>
          <w:color w:val="000000"/>
          <w:sz w:val="24"/>
        </w:rPr>
        <w:t>. Promptly upon request, each Member shall provide the Board of Managers with any information related to such Member reasonably necessary to (a) allow the Company to comply with any tax reporting, tax withholding or tax payment obligations of the Company or (b) establish the Company’s legal entitlement to an exemption from, or reduction of, withholding or any other taxes or similar payments.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6.05 </w:t>
      </w:r>
      <w:r>
        <w:rPr>
          <w:rFonts w:ascii="Times New Roman" w:hAnsi="Times New Roman"/>
          <w:b w:val="false"/>
          <w:color w:val="000000"/>
          <w:sz w:val="24"/>
          <w:u w:val="single"/>
        </w:rPr>
        <w:t>Tax Treatment</w:t>
      </w:r>
      <w:r>
        <w:rPr>
          <w:rFonts w:ascii="Times New Roman" w:hAnsi="Times New Roman"/>
          <w:b w:val="false"/>
          <w:color w:val="000000"/>
          <w:sz w:val="24"/>
        </w:rPr>
        <w:t>. The Company is intended to be and has elected to be classified as an association taxable as a corporation for U.S. federal income tax purposes. The Series A/A1 Preferred Units are intended to constitute [***] for U.S. federal income tax purposes. The Series B/B1 Preferred Units are intended to constitute [***] for purposes of [***] of the Code and the Regulations thereunder. None of the Company or any Member shall take any position inconsistent with such treatment in any tax return, filing, or proceeding unless otherwise required by a final determination (within the meaning of Section 1313(a) of the Code).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6.06 </w:t>
      </w:r>
      <w:r>
        <w:rPr>
          <w:rFonts w:ascii="Times New Roman" w:hAnsi="Times New Roman"/>
          <w:b w:val="false"/>
          <w:color w:val="000000"/>
          <w:sz w:val="24"/>
          <w:u w:val="single"/>
        </w:rPr>
        <w:t>Other Tax Matters.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represents and warrants that the Internal Revenue Service has the Company’s correct legal entity name reflected on its files.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Neither Vroom Parent nor the Company has made nor will make or cause to be made an election under Section 382(l)(5)(G) of the Code (or any successor provision) with respect to any “ownership change” of the Company (within the meaning of Section 382 of the Code) nor take any action that could reasonably be expected to result in such an election being made or deemed made.</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7</w:t>
      </w:r>
      <w:r>
        <w:rPr>
          <w:rFonts w:ascii="Times New Roman" w:hAnsi="Times New Roman"/>
          <w:caps/>
          <w:color w:val="000000"/>
          <w:sz w:val="24"/>
          <w:u w:val="single"/>
        </w:rPr>
        <w:br/>
        <w:t>TRANSFERS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7.01 </w:t>
      </w:r>
      <w:r>
        <w:rPr>
          <w:rFonts w:ascii="Times New Roman" w:hAnsi="Times New Roman"/>
          <w:b w:val="false"/>
          <w:color w:val="000000"/>
          <w:sz w:val="24"/>
          <w:u w:val="single"/>
        </w:rPr>
        <w:t>Transfer in 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Preferred Member (including the Investor Member) may freely Transfer any Preferred Units (including any Common Units issued upon conversion of any Series B/B1 Preferred Units) to any Person, subject only to applicable securities Laws.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Until the earlier of (i) the fifth (5th) anniversary of the Reference Date and (ii) the date each Preferred Unit is redeemed in full pursuant to </w:t>
      </w:r>
      <w:r>
        <w:rPr>
          <w:rFonts w:ascii="Times New Roman" w:hAnsi="Times New Roman"/>
          <w:color w:val="000000"/>
          <w:sz w:val="24"/>
          <w:u w:val="single"/>
        </w:rPr>
        <w:t>Article 8</w:t>
      </w:r>
      <w:r>
        <w:rPr>
          <w:rFonts w:ascii="Times New Roman" w:hAnsi="Times New Roman"/>
          <w:color w:val="000000"/>
          <w:sz w:val="24"/>
        </w:rPr>
        <w:t xml:space="preserve">, any Common Member (including the Vroom Member and its successors) shall not Transfer any equity Securities (including Common Units) of the Company without the prior written consent of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Member. For the avoidance of doubt, if any Common Member experiences a Change of Control, such Change of Control shall be deemed to be a Transfer by such Common Member of equity Securities (including Common Units)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A permitted Transfer of Units pursuant to this </w:t>
      </w:r>
      <w:r>
        <w:rPr>
          <w:rFonts w:ascii="Times New Roman" w:hAnsi="Times New Roman"/>
          <w:color w:val="000000"/>
          <w:sz w:val="24"/>
          <w:u w:val="single"/>
        </w:rPr>
        <w:t>Section 7.01</w:t>
      </w:r>
      <w:r>
        <w:rPr>
          <w:rFonts w:ascii="Times New Roman" w:hAnsi="Times New Roman"/>
          <w:color w:val="000000"/>
          <w:sz w:val="24"/>
        </w:rPr>
        <w:t xml:space="preserve"> shall be effective as of the date of (i) compliance with the conditions to such transfer referred to in this </w:t>
      </w:r>
      <w:r>
        <w:rPr>
          <w:rFonts w:ascii="Times New Roman" w:hAnsi="Times New Roman"/>
          <w:color w:val="000000"/>
          <w:sz w:val="24"/>
          <w:u w:val="single"/>
        </w:rPr>
        <w:t>Section 7.01</w:t>
      </w:r>
      <w:r>
        <w:rPr>
          <w:rFonts w:ascii="Times New Roman" w:hAnsi="Times New Roman"/>
          <w:color w:val="000000"/>
          <w:sz w:val="24"/>
        </w:rPr>
        <w:t xml:space="preserve"> and (ii) admission of the Substituted Member pursuant to </w:t>
      </w:r>
      <w:r>
        <w:rPr>
          <w:rFonts w:ascii="Times New Roman" w:hAnsi="Times New Roman"/>
          <w:color w:val="000000"/>
          <w:sz w:val="24"/>
          <w:u w:val="single"/>
        </w:rPr>
        <w:t>Section 7.02</w:t>
      </w:r>
      <w:r>
        <w:rPr>
          <w:rFonts w:ascii="Times New Roman" w:hAnsi="Times New Roman"/>
          <w:color w:val="000000"/>
          <w:sz w:val="24"/>
        </w:rPr>
        <w:t>. Distributions made before the effective date of such Transfer shall be paid to the transferor, and distributions made after such date shall be paid to the transferee.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Any Member who effectively Transfers any Units pursuant to this </w:t>
      </w:r>
      <w:r>
        <w:rPr>
          <w:rFonts w:ascii="Times New Roman" w:hAnsi="Times New Roman"/>
          <w:color w:val="000000"/>
          <w:sz w:val="24"/>
          <w:u w:val="single"/>
        </w:rPr>
        <w:t>Article 7</w:t>
      </w:r>
      <w:r>
        <w:rPr>
          <w:rFonts w:ascii="Times New Roman" w:hAnsi="Times New Roman"/>
          <w:color w:val="000000"/>
          <w:sz w:val="24"/>
        </w:rPr>
        <w:t xml:space="preserve"> shall cease to be a Member with respect to such Units and shall no longer have any rights or privileges of a Member with respect to such Units (it being understood, however, that the applicable provisions of </w:t>
      </w:r>
      <w:r>
        <w:rPr>
          <w:rFonts w:ascii="Times New Roman" w:hAnsi="Times New Roman"/>
          <w:color w:val="000000"/>
          <w:sz w:val="24"/>
          <w:u w:val="single"/>
        </w:rPr>
        <w:t>Section 3.12</w:t>
      </w:r>
      <w:r>
        <w:rPr>
          <w:rFonts w:ascii="Times New Roman" w:hAnsi="Times New Roman"/>
          <w:color w:val="000000"/>
          <w:sz w:val="24"/>
        </w:rPr>
        <w:t xml:space="preserve">, </w:t>
      </w:r>
      <w:r>
        <w:rPr>
          <w:rFonts w:ascii="Times New Roman" w:hAnsi="Times New Roman"/>
          <w:color w:val="000000"/>
          <w:sz w:val="24"/>
          <w:u w:val="single"/>
        </w:rPr>
        <w:t>Section 4.04</w:t>
      </w:r>
      <w:r>
        <w:rPr>
          <w:rFonts w:ascii="Times New Roman" w:hAnsi="Times New Roman"/>
          <w:color w:val="000000"/>
          <w:sz w:val="24"/>
        </w:rPr>
        <w:t xml:space="preserve">, </w:t>
      </w:r>
      <w:r>
        <w:rPr>
          <w:rFonts w:ascii="Times New Roman" w:hAnsi="Times New Roman"/>
          <w:color w:val="000000"/>
          <w:sz w:val="24"/>
          <w:u w:val="single"/>
        </w:rPr>
        <w:t>Section 4.05</w:t>
      </w:r>
      <w:r>
        <w:rPr>
          <w:rFonts w:ascii="Times New Roman" w:hAnsi="Times New Roman"/>
          <w:color w:val="000000"/>
          <w:sz w:val="24"/>
        </w:rPr>
        <w:t xml:space="preserve"> and </w:t>
      </w:r>
      <w:r>
        <w:rPr>
          <w:rFonts w:ascii="Times New Roman" w:hAnsi="Times New Roman"/>
          <w:color w:val="000000"/>
          <w:sz w:val="24"/>
          <w:u w:val="single"/>
        </w:rPr>
        <w:t>Section 4.07</w:t>
      </w:r>
      <w:r>
        <w:rPr>
          <w:rFonts w:ascii="Times New Roman" w:hAnsi="Times New Roman"/>
          <w:color w:val="000000"/>
          <w:sz w:val="24"/>
        </w:rPr>
        <w:t xml:space="preserve"> shall continue to inure to such Person’s benefit). Nothing contained herein shall relieve any Member who Transfers any Units in the Company from any liability or obligation of such Member to the Company or the other Members with respect to such Units that may exist on the date of such Transfer or that is otherwise specified in the Act and incorporated into this Agreement or for any liability to the Company or any other Person for any breaches of any representations, warranties or covenants by such Member (in its capacity as such) contained herein or in other agreements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the extent Units have been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SECURITIES REPRESENTED BY THIS CERTIFICATE HAVE NOT BEEN REGISTERED UNDER THE SECURITIES ACT OF 1933, AS AMENDED (THE “ACT”), AND MAY NOT BE SOLD OR TRANSFERRED IN THE ABSENCE OF AN EFFECTIVE REGISTRATION STATEMENT UNDER THE ACT OR AN EXEMPTION FROM REGISTRATION THEREUNDER. THE SECURITIES REPRESENTED BY THIS CERTIFICATE ARE ALSO SUBJECT TO ADDITIONAL RESTRICTIONS ON TRANSFER SPECIFIED IN THE LIMITED LIABILITY COMPANY AGREEMENT, AS MAY BE AMENDED AND MODIFIED FROM TIME TO TIME, AND THE COMPANY RESERVES THE RIGHT TO REFUSE THE TRANSFER OF SUCH SECURITIES UNTIL SUCH CONDITIONS HAVE BEEN FULFILLED WITH RESPECT TO ANY TRANSFER. A COPY OF SUCH CONDITIONS SHALL BE FURNISHED BY THE COMPANY TO THE HOLDER HEREOF UPON WRITTEN REQUEST AND WITHOUT CHARGE.”</w:t>
      </w:r>
    </w:p>
    <w:p>
      <w:pPr>
        <w:pStyle w:val="Heading2"/>
        <w:bidi w:val="0"/>
        <w:spacing w:before="0" w:after="240"/>
        <w:jc w:val="both"/>
        <w:rPr>
          <w:rFonts w:ascii="Times New Roman" w:hAnsi="Times New Roman"/>
          <w:sz w:val="24"/>
        </w:rPr>
      </w:pPr>
      <w:bookmarkStart w:id="10" w:name="additional_members"/>
      <w:bookmarkEnd w:id="10"/>
      <w:r>
        <w:rPr>
          <w:rFonts w:ascii="Times New Roman" w:hAnsi="Times New Roman"/>
          <w:b w:val="false"/>
          <w:color w:val="000000"/>
          <w:sz w:val="24"/>
        </w:rPr>
        <w:t xml:space="preserve">Section 7.02 </w:t>
      </w:r>
      <w:r>
        <w:rPr>
          <w:rFonts w:ascii="Times New Roman" w:hAnsi="Times New Roman"/>
          <w:b w:val="false"/>
          <w:color w:val="000000"/>
          <w:sz w:val="24"/>
          <w:u w:val="single"/>
        </w:rPr>
        <w:t>Admission of Members</w:t>
      </w:r>
      <w:r>
        <w:rPr>
          <w:rFonts w:ascii="Times New Roman" w:hAnsi="Times New Roman"/>
          <w:b w:val="false"/>
          <w:color w:val="000000"/>
          <w:sz w:val="24"/>
        </w:rPr>
        <w:t>. A Person may be admitted to the Company as a Member (a) in connection with the Transfer of any Units to such Person as permitted under the terms of this Agreement (a “</w:t>
      </w:r>
      <w:r>
        <w:rPr>
          <w:rFonts w:ascii="Times New Roman" w:hAnsi="Times New Roman"/>
          <w:color w:val="000000"/>
          <w:sz w:val="24"/>
          <w:u w:val="single"/>
        </w:rPr>
        <w:t>Substituted Member</w:t>
      </w:r>
      <w:r>
        <w:rPr>
          <w:rFonts w:ascii="Times New Roman" w:hAnsi="Times New Roman"/>
          <w:color w:val="000000"/>
          <w:sz w:val="24"/>
        </w:rPr>
        <w:t>”</w:t>
      </w:r>
      <w:r>
        <w:rPr>
          <w:rFonts w:ascii="Times New Roman" w:hAnsi="Times New Roman"/>
          <w:b w:val="false"/>
          <w:color w:val="000000"/>
          <w:sz w:val="24"/>
        </w:rPr>
        <w:t>) or (b) in connection with the issuance of new Units by the Company to an Additional Member, in each case upon executing a counterpart or joinder to this Agreement, accepting and agreeing to be bound by all of the terms and conditions hereof.</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bookmarkStart w:id="11" w:name="transfers_in_violation_of_agreement"/>
      <w:bookmarkEnd w:id="11"/>
      <w:r>
        <w:rPr>
          <w:rFonts w:ascii="Times New Roman" w:hAnsi="Times New Roman"/>
          <w:b w:val="false"/>
          <w:color w:val="000000"/>
          <w:sz w:val="24"/>
        </w:rPr>
        <w:t xml:space="preserve">Section 7.03 </w:t>
      </w:r>
      <w:r>
        <w:rPr>
          <w:rFonts w:ascii="Times New Roman" w:hAnsi="Times New Roman"/>
          <w:b w:val="false"/>
          <w:color w:val="000000"/>
          <w:sz w:val="24"/>
          <w:u w:val="single"/>
        </w:rPr>
        <w:t>Transfers in Violation of Agreement</w:t>
      </w:r>
      <w:r>
        <w:rPr>
          <w:rFonts w:ascii="Times New Roman" w:hAnsi="Times New Roman"/>
          <w:b w:val="false"/>
          <w:color w:val="000000"/>
          <w:sz w:val="24"/>
        </w:rPr>
        <w:t xml:space="preserve">. Any Transfer or attempted Transfer in violation of this </w:t>
      </w:r>
      <w:r>
        <w:rPr>
          <w:rFonts w:ascii="Times New Roman" w:hAnsi="Times New Roman"/>
          <w:b w:val="false"/>
          <w:color w:val="000000"/>
          <w:sz w:val="24"/>
          <w:u w:val="single"/>
        </w:rPr>
        <w:t>Article 7</w:t>
      </w:r>
      <w:r>
        <w:rPr>
          <w:rFonts w:ascii="Times New Roman" w:hAnsi="Times New Roman"/>
          <w:color w:val="000000"/>
          <w:sz w:val="24"/>
        </w:rPr>
        <w:t xml:space="preserve"> </w:t>
      </w:r>
      <w:r>
        <w:rPr>
          <w:rFonts w:ascii="Times New Roman" w:hAnsi="Times New Roman"/>
          <w:b w:val="false"/>
          <w:color w:val="000000"/>
          <w:sz w:val="24"/>
        </w:rPr>
        <w:t>shall be void, and the Company shall not record such purported Transfer on its books or treat any purported transferee as the owner of any Units subject to such purported Transfer.</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8</w:t>
      </w:r>
      <w:r>
        <w:rPr>
          <w:rFonts w:ascii="Times New Roman" w:hAnsi="Times New Roman"/>
          <w:caps/>
          <w:color w:val="000000"/>
          <w:sz w:val="24"/>
          <w:u w:val="single"/>
        </w:rPr>
        <w:br/>
        <w:t>REDEMPTION RIGHTS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8.01 </w:t>
      </w:r>
      <w:r>
        <w:rPr>
          <w:rFonts w:ascii="Times New Roman" w:hAnsi="Times New Roman"/>
          <w:b w:val="false"/>
          <w:color w:val="000000"/>
          <w:sz w:val="24"/>
          <w:u w:val="single"/>
        </w:rPr>
        <w:t>Mandatory Redemption of Series A Preferred Units</w:t>
      </w:r>
      <w:r>
        <w:rPr>
          <w:rFonts w:ascii="Times New Roman" w:hAnsi="Times New Roman"/>
          <w:b w:val="false"/>
          <w:color w:val="000000"/>
          <w:sz w:val="24"/>
        </w:rPr>
        <w:t>. Each Series A Preferred Member (including the Investor Member) shall have the right to require the Company to redeem all or any portion of its Series A Preferred Units (the “</w:t>
      </w:r>
      <w:r>
        <w:rPr>
          <w:rFonts w:ascii="Times New Roman" w:hAnsi="Times New Roman"/>
          <w:color w:val="000000"/>
          <w:sz w:val="24"/>
          <w:u w:val="single"/>
        </w:rPr>
        <w:t>Series A Mandatory Redemption</w:t>
      </w:r>
      <w:r>
        <w:rPr>
          <w:rFonts w:ascii="Times New Roman" w:hAnsi="Times New Roman"/>
          <w:color w:val="000000"/>
          <w:sz w:val="24"/>
        </w:rPr>
        <w:t>”</w:t>
      </w:r>
      <w:r>
        <w:rPr>
          <w:rFonts w:ascii="Times New Roman" w:hAnsi="Times New Roman"/>
          <w:b w:val="false"/>
          <w:color w:val="000000"/>
          <w:sz w:val="24"/>
        </w:rPr>
        <w:t>) by providing written notice to the Company at least ninety (90) days prior to any Series A Mandatory Redemption Date (the “</w:t>
      </w:r>
      <w:r>
        <w:rPr>
          <w:rFonts w:ascii="Times New Roman" w:hAnsi="Times New Roman"/>
          <w:color w:val="000000"/>
          <w:sz w:val="24"/>
          <w:u w:val="single"/>
        </w:rPr>
        <w:t>Series A Mandatory Redemption Notice</w:t>
      </w:r>
      <w:r>
        <w:rPr>
          <w:rFonts w:ascii="Times New Roman" w:hAnsi="Times New Roman"/>
          <w:color w:val="000000"/>
          <w:sz w:val="24"/>
        </w:rPr>
        <w:t>”</w:t>
      </w:r>
      <w:r>
        <w:rPr>
          <w:rFonts w:ascii="Times New Roman" w:hAnsi="Times New Roman"/>
          <w:b w:val="false"/>
          <w:color w:val="000000"/>
          <w:sz w:val="24"/>
        </w:rPr>
        <w:t>). In the event that any such Series A Preferred Member delivers a Series A Mandatory Redemption Notice to Company, the Company shall be required to redeem such number of Series A Preferred Units as is specified in such Series A Mandatory Redemption Notice, on the applicable Series A Mandatory Redemption Date (the “</w:t>
      </w:r>
      <w:r>
        <w:rPr>
          <w:rFonts w:ascii="Times New Roman" w:hAnsi="Times New Roman"/>
          <w:color w:val="000000"/>
          <w:sz w:val="24"/>
          <w:u w:val="single"/>
        </w:rPr>
        <w:t>Series A Mandatory Redemption Closing Date</w:t>
      </w:r>
      <w:r>
        <w:rPr>
          <w:rFonts w:ascii="Times New Roman" w:hAnsi="Times New Roman"/>
          <w:color w:val="000000"/>
          <w:sz w:val="24"/>
        </w:rPr>
        <w:t>”</w:t>
      </w:r>
      <w:r>
        <w:rPr>
          <w:rFonts w:ascii="Times New Roman" w:hAnsi="Times New Roman"/>
          <w:b w:val="false"/>
          <w:color w:val="000000"/>
          <w:sz w:val="24"/>
        </w:rPr>
        <w:t>), and at a price per Series A Preferred Unit equal to the Liquidation Preference of such Series A Preferred Unit (the “</w:t>
      </w:r>
      <w:r>
        <w:rPr>
          <w:rFonts w:ascii="Times New Roman" w:hAnsi="Times New Roman"/>
          <w:color w:val="000000"/>
          <w:sz w:val="24"/>
          <w:u w:val="single"/>
        </w:rPr>
        <w:t>Series A Redemption Price</w:t>
      </w:r>
      <w:r>
        <w:rPr>
          <w:rFonts w:ascii="Times New Roman" w:hAnsi="Times New Roman"/>
          <w:color w:val="000000"/>
          <w:sz w:val="24"/>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8.02 </w:t>
      </w:r>
      <w:r>
        <w:rPr>
          <w:rFonts w:ascii="Times New Roman" w:hAnsi="Times New Roman"/>
          <w:b w:val="false"/>
          <w:color w:val="000000"/>
          <w:sz w:val="24"/>
          <w:u w:val="single"/>
        </w:rPr>
        <w:t>Mandatory Redemption of Series A1 Preferred Units</w:t>
      </w:r>
      <w:r>
        <w:rPr>
          <w:rFonts w:ascii="Times New Roman" w:hAnsi="Times New Roman"/>
          <w:b w:val="false"/>
          <w:color w:val="000000"/>
          <w:sz w:val="24"/>
        </w:rPr>
        <w:t>. Each Series A1 Preferred Member (including the Investor Member) shall have the right to require the Company to redeem all or any portion of its Series A1 Preferred Units (the “</w:t>
      </w:r>
      <w:r>
        <w:rPr>
          <w:rFonts w:ascii="Times New Roman" w:hAnsi="Times New Roman"/>
          <w:color w:val="000000"/>
          <w:sz w:val="24"/>
          <w:u w:val="single"/>
        </w:rPr>
        <w:t>Series A1 Mandatory Redemption</w:t>
      </w:r>
      <w:r>
        <w:rPr>
          <w:rFonts w:ascii="Times New Roman" w:hAnsi="Times New Roman"/>
          <w:color w:val="000000"/>
          <w:sz w:val="24"/>
        </w:rPr>
        <w:t>”</w:t>
      </w:r>
      <w:r>
        <w:rPr>
          <w:rFonts w:ascii="Times New Roman" w:hAnsi="Times New Roman"/>
          <w:b w:val="false"/>
          <w:color w:val="000000"/>
          <w:sz w:val="24"/>
        </w:rPr>
        <w:t>) by providing written notice to the Company at least ninety (90) days prior to any Series A1 Mandatory Redemption Date (the “</w:t>
      </w:r>
      <w:r>
        <w:rPr>
          <w:rFonts w:ascii="Times New Roman" w:hAnsi="Times New Roman"/>
          <w:color w:val="000000"/>
          <w:sz w:val="24"/>
          <w:u w:val="single"/>
        </w:rPr>
        <w:t>Series A1 Mandatory Redemption Notice</w:t>
      </w:r>
      <w:r>
        <w:rPr>
          <w:rFonts w:ascii="Times New Roman" w:hAnsi="Times New Roman"/>
          <w:color w:val="000000"/>
          <w:sz w:val="24"/>
        </w:rPr>
        <w:t>”</w:t>
      </w:r>
      <w:r>
        <w:rPr>
          <w:rFonts w:ascii="Times New Roman" w:hAnsi="Times New Roman"/>
          <w:b w:val="false"/>
          <w:color w:val="000000"/>
          <w:sz w:val="24"/>
        </w:rPr>
        <w:t>). In the event that any such Series A1 Preferred Member delivers a Series A1 Mandatory Redemption Notice to Company, the Company shall be required to redeem such number of Series A1 Preferred Units as is specified in such Series A1 Mandatory Redemption Notice, on the applicable Series A1 Mandatory Redemption Date (the “</w:t>
      </w:r>
      <w:r>
        <w:rPr>
          <w:rFonts w:ascii="Times New Roman" w:hAnsi="Times New Roman"/>
          <w:color w:val="000000"/>
          <w:sz w:val="24"/>
          <w:u w:val="single"/>
        </w:rPr>
        <w:t>Series A1 Mandatory Redemption Closing Date</w:t>
      </w:r>
      <w:r>
        <w:rPr>
          <w:rFonts w:ascii="Times New Roman" w:hAnsi="Times New Roman"/>
          <w:color w:val="000000"/>
          <w:sz w:val="24"/>
        </w:rPr>
        <w:t>”</w:t>
      </w:r>
      <w:r>
        <w:rPr>
          <w:rFonts w:ascii="Times New Roman" w:hAnsi="Times New Roman"/>
          <w:b w:val="false"/>
          <w:color w:val="000000"/>
          <w:sz w:val="24"/>
        </w:rPr>
        <w:t>), and at a price per Series A1 Preferred Unit equal to the Liquidation Preference of such Series A1 Preferred Unit (the “</w:t>
      </w:r>
      <w:r>
        <w:rPr>
          <w:rFonts w:ascii="Times New Roman" w:hAnsi="Times New Roman"/>
          <w:color w:val="000000"/>
          <w:sz w:val="24"/>
          <w:u w:val="single"/>
        </w:rPr>
        <w:t>Series A1 Redemption Price</w:t>
      </w:r>
      <w:r>
        <w:rPr>
          <w:rFonts w:ascii="Times New Roman" w:hAnsi="Times New Roman"/>
          <w:color w:val="000000"/>
          <w:sz w:val="24"/>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8.03 </w:t>
      </w:r>
      <w:r>
        <w:rPr>
          <w:rFonts w:ascii="Times New Roman" w:hAnsi="Times New Roman"/>
          <w:b w:val="false"/>
          <w:color w:val="000000"/>
          <w:sz w:val="24"/>
          <w:u w:val="single"/>
        </w:rPr>
        <w:t>Mandatory Redemption of Series B Preferred Units</w:t>
      </w:r>
      <w:r>
        <w:rPr>
          <w:rFonts w:ascii="Times New Roman" w:hAnsi="Times New Roman"/>
          <w:b w:val="false"/>
          <w:color w:val="000000"/>
          <w:sz w:val="24"/>
        </w:rPr>
        <w:t>. Each Series B Preferred Member (including the Investor Member) shall have the right to require the Company to redeem all or any portion of its Series B Preferred Units (the “</w:t>
      </w:r>
      <w:r>
        <w:rPr>
          <w:rFonts w:ascii="Times New Roman" w:hAnsi="Times New Roman"/>
          <w:color w:val="000000"/>
          <w:sz w:val="24"/>
          <w:u w:val="single"/>
        </w:rPr>
        <w:t>Series B Mandatory Redemption</w:t>
      </w:r>
      <w:r>
        <w:rPr>
          <w:rFonts w:ascii="Times New Roman" w:hAnsi="Times New Roman"/>
          <w:color w:val="000000"/>
          <w:sz w:val="24"/>
        </w:rPr>
        <w:t>”</w:t>
      </w:r>
      <w:r>
        <w:rPr>
          <w:rFonts w:ascii="Times New Roman" w:hAnsi="Times New Roman"/>
          <w:b w:val="false"/>
          <w:color w:val="000000"/>
          <w:sz w:val="24"/>
        </w:rPr>
        <w:t>) by providing written notice to the Company at least ninety (90) days prior to any Series B Mandatory Redemption Date (a “</w:t>
      </w:r>
      <w:r>
        <w:rPr>
          <w:rFonts w:ascii="Times New Roman" w:hAnsi="Times New Roman"/>
          <w:color w:val="000000"/>
          <w:sz w:val="24"/>
          <w:u w:val="single"/>
        </w:rPr>
        <w:t>Series B Mandatory Redemption Notice</w:t>
      </w:r>
      <w:r>
        <w:rPr>
          <w:rFonts w:ascii="Times New Roman" w:hAnsi="Times New Roman"/>
          <w:color w:val="000000"/>
          <w:sz w:val="24"/>
        </w:rPr>
        <w:t>”</w:t>
      </w:r>
      <w:r>
        <w:rPr>
          <w:rFonts w:ascii="Times New Roman" w:hAnsi="Times New Roman"/>
          <w:b w:val="false"/>
          <w:color w:val="000000"/>
          <w:sz w:val="24"/>
        </w:rPr>
        <w:t>). In the event that any such Series B Preferred Member delivers a Series B Mandatory Redemption Notice to Company, the Company shall be required to redeem such number of Series B Preferred Units as is specified in such Series B Mandatory Redemption Notice, on the applicable Series B Mandatory Redemption Date (the “</w:t>
      </w:r>
      <w:r>
        <w:rPr>
          <w:rFonts w:ascii="Times New Roman" w:hAnsi="Times New Roman"/>
          <w:color w:val="000000"/>
          <w:sz w:val="24"/>
          <w:u w:val="single"/>
        </w:rPr>
        <w:t>Series B Mandatory Redemption Closing Date</w:t>
      </w:r>
      <w:r>
        <w:rPr>
          <w:rFonts w:ascii="Times New Roman" w:hAnsi="Times New Roman"/>
          <w:color w:val="000000"/>
          <w:sz w:val="24"/>
        </w:rPr>
        <w:t>”</w:t>
      </w:r>
      <w:r>
        <w:rPr>
          <w:rFonts w:ascii="Times New Roman" w:hAnsi="Times New Roman"/>
          <w:b w:val="false"/>
          <w:color w:val="000000"/>
          <w:sz w:val="24"/>
        </w:rPr>
        <w:t xml:space="preserve">), and at a price per Series B Preferred Unit equal to (i) the Liquidation Preference of such Series B Preferred Unit, </w:t>
      </w:r>
      <w:r>
        <w:rPr>
          <w:rFonts w:ascii="Times New Roman" w:hAnsi="Times New Roman"/>
          <w:b w:val="false"/>
          <w:i/>
          <w:color w:val="000000"/>
          <w:sz w:val="24"/>
        </w:rPr>
        <w:t>plus</w:t>
      </w:r>
      <w:r>
        <w:rPr>
          <w:rFonts w:ascii="Times New Roman" w:hAnsi="Times New Roman"/>
          <w:color w:val="000000"/>
          <w:sz w:val="24"/>
        </w:rPr>
        <w:t xml:space="preserve"> </w:t>
      </w:r>
      <w:r>
        <w:rPr>
          <w:rFonts w:ascii="Times New Roman" w:hAnsi="Times New Roman"/>
          <w:b w:val="false"/>
          <w:color w:val="000000"/>
          <w:sz w:val="24"/>
        </w:rPr>
        <w:t>(ii) the Special Redemption Price (if any) on such Series B Preferred Unit (collectively, the “</w:t>
      </w:r>
      <w:r>
        <w:rPr>
          <w:rFonts w:ascii="Times New Roman" w:hAnsi="Times New Roman"/>
          <w:color w:val="000000"/>
          <w:sz w:val="24"/>
          <w:u w:val="single"/>
        </w:rPr>
        <w:t>Series B Redemption Price</w:t>
      </w:r>
      <w:r>
        <w:rPr>
          <w:rFonts w:ascii="Times New Roman" w:hAnsi="Times New Roman"/>
          <w:color w:val="000000"/>
          <w:sz w:val="24"/>
        </w:rPr>
        <w:t>”</w:t>
      </w:r>
      <w:r>
        <w:rPr>
          <w:rFonts w:ascii="Times New Roman" w:hAnsi="Times New Roman"/>
          <w:b w:val="false"/>
          <w:color w:val="000000"/>
          <w:sz w:val="24"/>
        </w:rPr>
        <w: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8.04 </w:t>
      </w:r>
      <w:r>
        <w:rPr>
          <w:rFonts w:ascii="Times New Roman" w:hAnsi="Times New Roman"/>
          <w:b w:val="false"/>
          <w:color w:val="000000"/>
          <w:sz w:val="24"/>
          <w:u w:val="single"/>
        </w:rPr>
        <w:t>Mandatory Redemption of Series B1 Preferred Units</w:t>
      </w:r>
      <w:r>
        <w:rPr>
          <w:rFonts w:ascii="Times New Roman" w:hAnsi="Times New Roman"/>
          <w:b w:val="false"/>
          <w:color w:val="000000"/>
          <w:sz w:val="24"/>
        </w:rPr>
        <w:t>. Each Series B1 Preferred Member (including the Investor Member) shall have the right to require the Company to</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redeem all or any portion of its Series B1 Preferred Units (the “</w:t>
      </w:r>
      <w:r>
        <w:rPr>
          <w:rFonts w:ascii="Times New Roman" w:hAnsi="Times New Roman"/>
          <w:color w:val="000000"/>
          <w:sz w:val="24"/>
          <w:u w:val="single"/>
        </w:rPr>
        <w:t>Series B1 Mandatory Redemption</w:t>
      </w:r>
      <w:r>
        <w:rPr>
          <w:rFonts w:ascii="Times New Roman" w:hAnsi="Times New Roman"/>
          <w:color w:val="000000"/>
          <w:sz w:val="24"/>
        </w:rPr>
        <w:t>”</w:t>
      </w:r>
      <w:r>
        <w:rPr>
          <w:rFonts w:ascii="Times New Roman" w:hAnsi="Times New Roman"/>
          <w:b w:val="false"/>
          <w:color w:val="000000"/>
          <w:sz w:val="24"/>
        </w:rPr>
        <w:t>) by providing written notice to the Company at least ninety (90) days prior to any Series B1 Mandatory Redemption Date (a “</w:t>
      </w:r>
      <w:r>
        <w:rPr>
          <w:rFonts w:ascii="Times New Roman" w:hAnsi="Times New Roman"/>
          <w:color w:val="000000"/>
          <w:sz w:val="24"/>
          <w:u w:val="single"/>
        </w:rPr>
        <w:t>Series B1 Mandatory Redemption Notice</w:t>
      </w:r>
      <w:r>
        <w:rPr>
          <w:rFonts w:ascii="Times New Roman" w:hAnsi="Times New Roman"/>
          <w:color w:val="000000"/>
          <w:sz w:val="24"/>
        </w:rPr>
        <w:t>”</w:t>
      </w:r>
      <w:r>
        <w:rPr>
          <w:rFonts w:ascii="Times New Roman" w:hAnsi="Times New Roman"/>
          <w:b w:val="false"/>
          <w:color w:val="000000"/>
          <w:sz w:val="24"/>
        </w:rPr>
        <w:t>). In the event that any such Series B1 Preferred Member delivers a Series B1 Mandatory Redemption Notice to Company, the Company shall be required to redeem such number of Series B1 Preferred Units as is specified in such Series B1 Mandatory Redemption Notice, on the applicable Series B1 Mandatory Redemption Date (the “</w:t>
      </w:r>
      <w:r>
        <w:rPr>
          <w:rFonts w:ascii="Times New Roman" w:hAnsi="Times New Roman"/>
          <w:color w:val="000000"/>
          <w:sz w:val="24"/>
          <w:u w:val="single"/>
        </w:rPr>
        <w:t>Series B1 Mandatory Redemption Closing Date</w:t>
      </w:r>
      <w:r>
        <w:rPr>
          <w:rFonts w:ascii="Times New Roman" w:hAnsi="Times New Roman"/>
          <w:color w:val="000000"/>
          <w:sz w:val="24"/>
        </w:rPr>
        <w:t>”</w:t>
      </w:r>
      <w:r>
        <w:rPr>
          <w:rFonts w:ascii="Times New Roman" w:hAnsi="Times New Roman"/>
          <w:b w:val="false"/>
          <w:color w:val="000000"/>
          <w:sz w:val="24"/>
        </w:rPr>
        <w:t xml:space="preserve">), and at a price per Series B1 Preferred Unit equal to (i) the Liquidation Preference of such Series B1 Preferred Unit, </w:t>
      </w:r>
      <w:r>
        <w:rPr>
          <w:rFonts w:ascii="Times New Roman" w:hAnsi="Times New Roman"/>
          <w:b w:val="false"/>
          <w:i/>
          <w:color w:val="000000"/>
          <w:sz w:val="24"/>
        </w:rPr>
        <w:t>plus</w:t>
      </w:r>
      <w:r>
        <w:rPr>
          <w:rFonts w:ascii="Times New Roman" w:hAnsi="Times New Roman"/>
          <w:color w:val="000000"/>
          <w:sz w:val="24"/>
        </w:rPr>
        <w:t xml:space="preserve"> </w:t>
      </w:r>
      <w:r>
        <w:rPr>
          <w:rFonts w:ascii="Times New Roman" w:hAnsi="Times New Roman"/>
          <w:b w:val="false"/>
          <w:color w:val="000000"/>
          <w:sz w:val="24"/>
        </w:rPr>
        <w:t>(ii) the Special Redemption Price (if any) on such Series B1 Preferred Unit (collectively, the “</w:t>
      </w:r>
      <w:r>
        <w:rPr>
          <w:rFonts w:ascii="Times New Roman" w:hAnsi="Times New Roman"/>
          <w:color w:val="000000"/>
          <w:sz w:val="24"/>
          <w:u w:val="single"/>
        </w:rPr>
        <w:t>Series B1 Redemption Price</w:t>
      </w:r>
      <w:r>
        <w:rPr>
          <w:rFonts w:ascii="Times New Roman" w:hAnsi="Times New Roman"/>
          <w:color w:val="000000"/>
          <w:sz w:val="24"/>
        </w:rPr>
        <w:t>”</w:t>
      </w:r>
      <w:r>
        <w:rPr>
          <w:rFonts w:ascii="Times New Roman" w:hAnsi="Times New Roman"/>
          <w:b w:val="false"/>
          <w:color w:val="000000"/>
          <w:sz w:val="24"/>
        </w:rPr>
        <w: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8.05 </w:t>
      </w:r>
      <w:r>
        <w:rPr>
          <w:rFonts w:ascii="Times New Roman" w:hAnsi="Times New Roman"/>
          <w:b w:val="false"/>
          <w:color w:val="000000"/>
          <w:sz w:val="24"/>
          <w:u w:val="single"/>
        </w:rPr>
        <w:t>Change of Control Redemption</w:t>
      </w:r>
      <w:r>
        <w:rPr>
          <w:rFonts w:ascii="Times New Roman" w:hAnsi="Times New Roman"/>
          <w:b w:val="false"/>
          <w:color w:val="000000"/>
          <w:sz w:val="24"/>
        </w:rPr>
        <w:t>. Each Preferred Member (including the Investor Member) shall have the right to require the Company to redeem all or any portion of its Preferred Units (the “</w:t>
      </w:r>
      <w:r>
        <w:rPr>
          <w:rFonts w:ascii="Times New Roman" w:hAnsi="Times New Roman"/>
          <w:color w:val="000000"/>
          <w:sz w:val="24"/>
          <w:u w:val="single"/>
        </w:rPr>
        <w:t>CoC Redemption</w:t>
      </w:r>
      <w:r>
        <w:rPr>
          <w:rFonts w:ascii="Times New Roman" w:hAnsi="Times New Roman"/>
          <w:color w:val="000000"/>
          <w:sz w:val="24"/>
        </w:rPr>
        <w:t>”</w:t>
      </w:r>
      <w:r>
        <w:rPr>
          <w:rFonts w:ascii="Times New Roman" w:hAnsi="Times New Roman"/>
          <w:b w:val="false"/>
          <w:color w:val="000000"/>
          <w:sz w:val="24"/>
        </w:rPr>
        <w:t>) by providing written notice to the Company no later than twenty (20) Business Days prior to any (a) Change of Control of the Company, the Vroom Member or Vroom Parent or (b) Fundamental Event (a “</w:t>
      </w:r>
      <w:r>
        <w:rPr>
          <w:rFonts w:ascii="Times New Roman" w:hAnsi="Times New Roman"/>
          <w:color w:val="000000"/>
          <w:sz w:val="24"/>
          <w:u w:val="single"/>
        </w:rPr>
        <w:t>CoC Redemption Notice</w:t>
      </w:r>
      <w:r>
        <w:rPr>
          <w:rFonts w:ascii="Times New Roman" w:hAnsi="Times New Roman"/>
          <w:color w:val="000000"/>
          <w:sz w:val="24"/>
        </w:rPr>
        <w:t>”</w:t>
      </w:r>
      <w:r>
        <w:rPr>
          <w:rFonts w:ascii="Times New Roman" w:hAnsi="Times New Roman"/>
          <w:b w:val="false"/>
          <w:color w:val="000000"/>
          <w:sz w:val="24"/>
        </w:rPr>
        <w:t>). In the event that any such Preferred Member delivers a CoC Redemption Notice to the Company, the Company shall be required to redeem such number of Preferred Units as is specified in such CoC Redemption Notice upon and simultaneously with the consummation of such Change of Control or Fundamental Event (the “</w:t>
      </w:r>
      <w:r>
        <w:rPr>
          <w:rFonts w:ascii="Times New Roman" w:hAnsi="Times New Roman"/>
          <w:color w:val="000000"/>
          <w:sz w:val="24"/>
          <w:u w:val="single"/>
        </w:rPr>
        <w:t>CoC Redemption Closing Date</w:t>
      </w:r>
      <w:r>
        <w:rPr>
          <w:rFonts w:ascii="Times New Roman" w:hAnsi="Times New Roman"/>
          <w:color w:val="000000"/>
          <w:sz w:val="24"/>
        </w:rPr>
        <w:t>”</w:t>
      </w:r>
      <w:r>
        <w:rPr>
          <w:rFonts w:ascii="Times New Roman" w:hAnsi="Times New Roman"/>
          <w:b w:val="false"/>
          <w:color w:val="000000"/>
          <w:sz w:val="24"/>
        </w:rPr>
        <w:t>), and at a price per Preferred Unit equal to (i) in the case of the Series A/A1 Preferred Units, the Series A Redemption Price or Series A1 Redemption Price (as applicable), and (ii) in the case of the Series B/B1 Preferred Units, the Series B Redemption Price or Series B1 Redemption Price (as applicable). The Company shall provide each Preferred Member with at least thirty (30) Business Days’ notice prior to the consummation of any such Change of Control or Fundamental Event.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8.06 </w:t>
      </w:r>
      <w:r>
        <w:rPr>
          <w:rFonts w:ascii="Times New Roman" w:hAnsi="Times New Roman"/>
          <w:b w:val="false"/>
          <w:color w:val="000000"/>
          <w:sz w:val="24"/>
          <w:u w:val="single"/>
        </w:rPr>
        <w:t>382 Change Transaction.</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(a) Contemporaneously with the consummation of a 382 Change Transaction (the “</w:t>
      </w:r>
      <w:r>
        <w:rPr>
          <w:rFonts w:ascii="Times New Roman" w:hAnsi="Times New Roman"/>
          <w:b/>
          <w:color w:val="000000"/>
          <w:sz w:val="24"/>
          <w:u w:val="single"/>
        </w:rPr>
        <w:t>382 Redemption Closing Date</w:t>
      </w:r>
      <w:r>
        <w:rPr>
          <w:rFonts w:ascii="Times New Roman" w:hAnsi="Times New Roman"/>
          <w:color w:val="000000"/>
          <w:sz w:val="24"/>
        </w:rPr>
        <w:t>”), the Company shall redeem each Unit held by the Investor Member and its Affiliates (the “</w:t>
      </w:r>
      <w:r>
        <w:rPr>
          <w:rFonts w:ascii="Times New Roman" w:hAnsi="Times New Roman"/>
          <w:b/>
          <w:color w:val="000000"/>
          <w:sz w:val="24"/>
          <w:u w:val="single"/>
        </w:rPr>
        <w:t>382 Redemption</w:t>
      </w:r>
      <w:r>
        <w:rPr>
          <w:rFonts w:ascii="Times New Roman" w:hAnsi="Times New Roman"/>
          <w:color w:val="000000"/>
          <w:sz w:val="24"/>
        </w:rPr>
        <w:t>”), at a price per Unit equal to (i) in the case of each Series A/A1 Preferred Unit, the Series A Redemption Price or Series A1 Redemption Price, as applicable (or the Early Redemption Price if such 382 Redemption is consummated on or prior to the Optional Redemption Date), (ii) in the case of each Series B/B1 Preferred Unit, the Series B Redemption Price or Series B1 Redemption Price, as applicable (or the Early Redemption Price if such 382 Redemption is consummated on or prior to the Optional Redemption Date), and (iii) in the case of each Common Unit, the Fair Market Value thereof. The Company shall provide the Investor Member with written notice of any 382 Change Transaction at least twenty (20) Business Days prior to the consummation of such transaction (the “</w:t>
      </w:r>
      <w:r>
        <w:rPr>
          <w:rFonts w:ascii="Times New Roman" w:hAnsi="Times New Roman"/>
          <w:b/>
          <w:color w:val="000000"/>
          <w:sz w:val="24"/>
          <w:u w:val="single"/>
        </w:rPr>
        <w:t>382 Redemption Notice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If the Company fails to redeem each Unit held by the Investor Member and its Affiliates on the 382 Redemption Closing Date in accordance with the terms of </w:t>
      </w:r>
      <w:r>
        <w:rPr>
          <w:rFonts w:ascii="Times New Roman" w:hAnsi="Times New Roman"/>
          <w:color w:val="000000"/>
          <w:sz w:val="24"/>
          <w:u w:val="single"/>
        </w:rPr>
        <w:t>Section 8.06(a)</w:t>
      </w:r>
      <w:r>
        <w:rPr>
          <w:rFonts w:ascii="Times New Roman" w:hAnsi="Times New Roman"/>
          <w:color w:val="000000"/>
          <w:sz w:val="24"/>
        </w:rPr>
        <w:t xml:space="preserve"> (a “</w:t>
      </w:r>
      <w:r>
        <w:rPr>
          <w:rFonts w:ascii="Times New Roman" w:hAnsi="Times New Roman"/>
          <w:b/>
          <w:color w:val="000000"/>
          <w:sz w:val="24"/>
          <w:u w:val="single"/>
        </w:rPr>
        <w:t>382 Redemption Failure</w:t>
      </w:r>
      <w:r>
        <w:rPr>
          <w:rFonts w:ascii="Times New Roman" w:hAnsi="Times New Roman"/>
          <w:color w:val="000000"/>
          <w:sz w:val="24"/>
        </w:rPr>
        <w:t>”), then (in addition to any other rights or remedies that the Investor Member and its Affiliates may have under this Agreement or at law or in equity):</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all of the Series B/B1 Preferred Units held by the Investor Member and its Affiliates shall, without the payment of any additional consideration, automatically convert into Common Units as set forth in this </w:t>
      </w:r>
      <w:r>
        <w:rPr>
          <w:rFonts w:ascii="Times New Roman" w:hAnsi="Times New Roman"/>
          <w:b/>
          <w:color w:val="000000"/>
          <w:sz w:val="24"/>
          <w:u w:val="single"/>
        </w:rPr>
        <w:t>Section 8.06(b)</w:t>
      </w:r>
      <w:r>
        <w:rPr>
          <w:rFonts w:ascii="Times New Roman" w:hAnsi="Times New Roman"/>
          <w:color w:val="000000"/>
          <w:sz w:val="24"/>
        </w:rPr>
        <w:t xml:space="preserve"> (a “</w:t>
      </w:r>
      <w:r>
        <w:rPr>
          <w:rFonts w:ascii="Times New Roman" w:hAnsi="Times New Roman"/>
          <w:b/>
          <w:color w:val="000000"/>
          <w:sz w:val="24"/>
          <w:u w:val="single"/>
        </w:rPr>
        <w:t>Series B/B1 Mandatory Conversion</w:t>
      </w:r>
      <w:r>
        <w:rPr>
          <w:rFonts w:ascii="Times New Roman" w:hAnsi="Times New Roman"/>
          <w:color w:val="000000"/>
          <w:sz w:val="24"/>
        </w:rPr>
        <w:t xml:space="preserve">”), unless the Investor Member delivers a written notice to the Company specifying that any such Series B/B1 Mandatory Conversion shall not occur. </w:t>
      </w:r>
    </w:p>
    <w:p>
      <w:pPr>
        <w:pStyle w:val="TextBody"/>
        <w:bidi w:val="0"/>
        <w:spacing w:before="0" w:after="240"/>
        <w:jc w:val="both"/>
        <w:rPr>
          <w:rFonts w:ascii="Times New Roman" w:hAnsi="Times New Roman"/>
          <w:sz w:val="24"/>
        </w:rPr>
      </w:pPr>
      <w:r>
        <w:rPr>
          <w:rFonts w:ascii="Times New Roman" w:hAnsi="Times New Roman"/>
          <w:color w:val="000000"/>
          <w:sz w:val="24"/>
        </w:rPr>
        <w:t>(ii) Any Series B/B1 Mandatory Conversion shall be effective contemporaneously with the consummation of the applicable 382 Change Transaction (the “</w:t>
      </w:r>
      <w:r>
        <w:rPr>
          <w:rFonts w:ascii="Times New Roman" w:hAnsi="Times New Roman"/>
          <w:b/>
          <w:color w:val="000000"/>
          <w:sz w:val="24"/>
          <w:u w:val="single"/>
        </w:rPr>
        <w:t>Mandatory Conversion Time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(iii) At the Mandatory Conversion Time, all of the Series B/B1 Preferred Units held by the Investor Member and its Affiliates shall automatically and without the need for any further action by any Person be converted into a certain number of fully paid and non-assessable Common Units such that, immediately following the Mandatory Conversion Time, the Common Units issued in connection with the Series B/B1 Mandatory Conversion account for ninety percent (90%) of the outstanding Common Units of the Company (including, for the avoidance of doubt, any securities convertible into or exercisable for Common Units). Notwithstanding the foregoing, if the conversion of all of the Series B/B1 Preferred Units held by the Investor Member and its Affiliates in accordance with </w:t>
      </w:r>
      <w:r>
        <w:rPr>
          <w:rFonts w:ascii="Times New Roman" w:hAnsi="Times New Roman"/>
          <w:color w:val="000000"/>
          <w:sz w:val="24"/>
          <w:u w:val="single"/>
        </w:rPr>
        <w:t>Section 3.08(a)(iii</w:t>
      </w:r>
      <w:r>
        <w:rPr>
          <w:rFonts w:ascii="Times New Roman" w:hAnsi="Times New Roman"/>
          <w:color w:val="000000"/>
          <w:sz w:val="24"/>
        </w:rPr>
        <w:t xml:space="preserve">) would result in the Investor Member and its Affiliates being issued a greater number of Common Units than that provided for in the immediately preceding sentence, then all of such Series B/B1 Preferred Units shall instead convert in accordance with </w:t>
      </w:r>
      <w:r>
        <w:rPr>
          <w:rFonts w:ascii="Times New Roman" w:hAnsi="Times New Roman"/>
          <w:color w:val="000000"/>
          <w:sz w:val="24"/>
          <w:u w:val="single"/>
        </w:rPr>
        <w:t>Section 3.08(a)(iii</w:t>
      </w:r>
      <w:r>
        <w:rPr>
          <w:rFonts w:ascii="Times New Roman" w:hAnsi="Times New Roman"/>
          <w:color w:val="000000"/>
          <w:sz w:val="24"/>
        </w:rPr>
        <w:t xml:space="preserve">), with such conversion being effective as of the Mandatory Conversion Time.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(iv) If the Company, the Vroom Member, Vroom Parent or any of their respective Subsidiaries are a party to the applicable 382 Change Transaction, such 382 Change Transaction shall not be consummated until such time as all of the Series A/A1 Preferred Units held by the Investor Member and its Affiliates are redeemed in accordance with the terms of </w:t>
      </w:r>
      <w:r>
        <w:rPr>
          <w:rFonts w:ascii="Times New Roman" w:hAnsi="Times New Roman"/>
          <w:color w:val="000000"/>
          <w:sz w:val="24"/>
          <w:u w:val="single"/>
        </w:rPr>
        <w:t>Section 8.06(a)</w:t>
      </w:r>
      <w:r>
        <w:rPr>
          <w:rFonts w:ascii="Times New Roman" w:hAnsi="Times New Roman"/>
          <w:color w:val="000000"/>
          <w:sz w:val="24"/>
        </w:rPr>
        <w:t xml:space="preserve"> (and contemporaneously with the consummation of such 382 Change Transaction). If the Company, the Vroom Member, Vroom Parent and their respective Subsidiaries are not a party to the applicable 382 Change Transaction, the Company must redeem all of the Series A/A1 Preferred Units held by the Investor Member and its Affiliates in accordance with the terms of </w:t>
      </w:r>
      <w:r>
        <w:rPr>
          <w:rFonts w:ascii="Times New Roman" w:hAnsi="Times New Roman"/>
          <w:color w:val="000000"/>
          <w:sz w:val="24"/>
          <w:u w:val="single"/>
        </w:rPr>
        <w:t>Section 8.06(a)</w:t>
      </w:r>
      <w:r>
        <w:rPr>
          <w:rFonts w:ascii="Times New Roman" w:hAnsi="Times New Roman"/>
          <w:color w:val="000000"/>
          <w:sz w:val="24"/>
        </w:rPr>
        <w:t xml:space="preserve"> promptly following the time that the Company, the Vroom Member, Vroom Parent or any of their respective Subsidiaries become aware of the consummation of such 382 Change Transaction.</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8.07 </w:t>
      </w:r>
      <w:r>
        <w:rPr>
          <w:rFonts w:ascii="Times New Roman" w:hAnsi="Times New Roman"/>
          <w:b w:val="false"/>
          <w:color w:val="000000"/>
          <w:sz w:val="24"/>
          <w:u w:val="single"/>
        </w:rPr>
        <w:t>Optional Redemption of Preferred Units</w:t>
      </w:r>
      <w:r>
        <w:rPr>
          <w:rFonts w:ascii="Times New Roman" w:hAnsi="Times New Roman"/>
          <w:b w:val="false"/>
          <w:color w:val="000000"/>
          <w:sz w:val="24"/>
        </w:rPr>
        <w:t>. The Company shall have the option (but not the obligation) to redeem all, but not less than all, of the Preferred Units held by all of the Preferred Members (the “</w:t>
      </w:r>
      <w:r>
        <w:rPr>
          <w:rFonts w:ascii="Times New Roman" w:hAnsi="Times New Roman"/>
          <w:color w:val="000000"/>
          <w:sz w:val="24"/>
          <w:u w:val="single"/>
        </w:rPr>
        <w:t>Optional Redemption</w:t>
      </w:r>
      <w:r>
        <w:rPr>
          <w:rFonts w:ascii="Times New Roman" w:hAnsi="Times New Roman"/>
          <w:color w:val="000000"/>
          <w:sz w:val="24"/>
        </w:rPr>
        <w:t>”</w:t>
      </w:r>
      <w:r>
        <w:rPr>
          <w:rFonts w:ascii="Times New Roman" w:hAnsi="Times New Roman"/>
          <w:b w:val="false"/>
          <w:color w:val="000000"/>
          <w:sz w:val="24"/>
        </w:rPr>
        <w:t>) by providing an irrevocable written notice to each Preferred Member at any time following the Effective Date (an “</w:t>
      </w:r>
      <w:r>
        <w:rPr>
          <w:rFonts w:ascii="Times New Roman" w:hAnsi="Times New Roman"/>
          <w:color w:val="000000"/>
          <w:sz w:val="24"/>
          <w:u w:val="single"/>
        </w:rPr>
        <w:t>Optional Redemption Notice</w:t>
      </w:r>
      <w:r>
        <w:rPr>
          <w:rFonts w:ascii="Times New Roman" w:hAnsi="Times New Roman"/>
          <w:color w:val="000000"/>
          <w:sz w:val="24"/>
        </w:rPr>
        <w:t>”</w:t>
      </w:r>
      <w:r>
        <w:rPr>
          <w:rFonts w:ascii="Times New Roman" w:hAnsi="Times New Roman"/>
          <w:b w:val="false"/>
          <w:color w:val="000000"/>
          <w:sz w:val="24"/>
        </w:rPr>
        <w:t>). In the event the Company delivers an Optional Redemption Notice to each Preferred Member, the Company shall be required to redeem all of the Preferred Units held by all of the Preferred Members within twenty (20) Business Days’ of delivery of such Optional</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Redemption Notice (the “</w:t>
      </w:r>
      <w:r>
        <w:rPr>
          <w:rFonts w:ascii="Times New Roman" w:hAnsi="Times New Roman"/>
          <w:color w:val="000000"/>
          <w:sz w:val="24"/>
          <w:u w:val="single"/>
        </w:rPr>
        <w:t>Optional Redemption Closing Date</w:t>
      </w:r>
      <w:r>
        <w:rPr>
          <w:rFonts w:ascii="Times New Roman" w:hAnsi="Times New Roman"/>
          <w:color w:val="000000"/>
          <w:sz w:val="24"/>
        </w:rPr>
        <w:t>”</w:t>
      </w:r>
      <w:r>
        <w:rPr>
          <w:rFonts w:ascii="Times New Roman" w:hAnsi="Times New Roman"/>
          <w:b w:val="false"/>
          <w:color w:val="000000"/>
          <w:sz w:val="24"/>
        </w:rPr>
        <w:t>), and at a price per Preferred Unit equal to (a) if such Optional Redemption is consummated after the Optional Redemption Date, the Series A Redemption Price (in the case of the Series A Preferred Units being redeemed), the Series A1 Redemption Price (in the case of the Series A1 Preferred Units being redeemed), the Series B Redemption Price (in the case of the Series B Preferred Units being redeemed) or the Series B1 Redemption Price (in the case of the Series B1 Preferred Units being redeemed), or (b) if such Optional Redemption is consummated on or prior to the Optional Redemption Date, the Early Redemption Price.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8.08 </w:t>
      </w:r>
      <w:r>
        <w:rPr>
          <w:rFonts w:ascii="Times New Roman" w:hAnsi="Times New Roman"/>
          <w:b w:val="false"/>
          <w:color w:val="000000"/>
          <w:sz w:val="24"/>
          <w:u w:val="single"/>
        </w:rPr>
        <w:t>Company’s Inability to Satisfy Obligations.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Notwithstanding anything to the contrary herein, the obligation to complete a Redemption Transaction (other than a 382 Redemption) under this </w:t>
      </w:r>
      <w:r>
        <w:rPr>
          <w:rFonts w:ascii="Times New Roman" w:hAnsi="Times New Roman"/>
          <w:color w:val="000000"/>
          <w:sz w:val="24"/>
          <w:u w:val="single"/>
        </w:rPr>
        <w:t>Article 8</w:t>
      </w:r>
      <w:r>
        <w:rPr>
          <w:rFonts w:ascii="Times New Roman" w:hAnsi="Times New Roman"/>
          <w:color w:val="000000"/>
          <w:sz w:val="24"/>
        </w:rPr>
        <w:t xml:space="preserve"> may be delayed upon resolution of the Board of Managers if, in the reasonable good faith judgment of the Board of Managers, such Redemption Transaction (other than a 382 Redemption) would violate any applicable Law to which the Company is subject. To the extent that the Board of Managers delays any Redemption Transaction (other than a 382 Redemption) pursuant to this </w:t>
      </w:r>
      <w:r>
        <w:rPr>
          <w:rFonts w:ascii="Times New Roman" w:hAnsi="Times New Roman"/>
          <w:color w:val="000000"/>
          <w:sz w:val="24"/>
          <w:u w:val="single"/>
        </w:rPr>
        <w:t>Section 8.08(a)</w:t>
      </w:r>
      <w:r>
        <w:rPr>
          <w:rFonts w:ascii="Times New Roman" w:hAnsi="Times New Roman"/>
          <w:color w:val="000000"/>
          <w:sz w:val="24"/>
        </w:rPr>
        <w:t xml:space="preserve">, (i) the Company shall be required to effect such Redemption Transaction (other than a 382 Redemption) immediately after the reasons for such delay have ceased, (ii) the Company shall not be entitled to make any distributions (other than Preferred Accruing Distributions) to any Member until such Redemption Transaction (other than a 382 Redemption) has been consummated, and (iii) such Member shall be paid interest on such delayed redemption payment at the Default Rate.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If the provisions of </w:t>
      </w:r>
      <w:r>
        <w:rPr>
          <w:rFonts w:ascii="Times New Roman" w:hAnsi="Times New Roman"/>
          <w:color w:val="000000"/>
          <w:sz w:val="24"/>
          <w:u w:val="single"/>
        </w:rPr>
        <w:t>Section 8.08(a)</w:t>
      </w:r>
      <w:r>
        <w:rPr>
          <w:rFonts w:ascii="Times New Roman" w:hAnsi="Times New Roman"/>
          <w:color w:val="000000"/>
          <w:sz w:val="24"/>
        </w:rPr>
        <w:t xml:space="preserve"> limit the Company’s redemption of any Preferred Units, (i) the time periods in which the Company and each Preferred Member must deliver any notice or consummate any transaction, in each case, under this </w:t>
      </w:r>
      <w:r>
        <w:rPr>
          <w:rFonts w:ascii="Times New Roman" w:hAnsi="Times New Roman"/>
          <w:color w:val="000000"/>
          <w:sz w:val="24"/>
          <w:u w:val="single"/>
        </w:rPr>
        <w:t>Article 8</w:t>
      </w:r>
      <w:r>
        <w:rPr>
          <w:rFonts w:ascii="Times New Roman" w:hAnsi="Times New Roman"/>
          <w:color w:val="000000"/>
          <w:sz w:val="24"/>
        </w:rPr>
        <w:t xml:space="preserve"> shall similarly be tolled and (ii) each Preferred Member may elect to withdraw its Series A Mandatory Redemption Notice, Series A1 Mandatory Redemption Notice, Series B Mandatory Redemption Notice, Series B1 Mandatory Redemption Notice or CoC Redemption Notice (as applicable), in which case such Preferred Member shall be entitled to re-exercise its rights in full again commencing on the next applicable redemption date pursuant to this </w:t>
      </w:r>
      <w:r>
        <w:rPr>
          <w:rFonts w:ascii="Times New Roman" w:hAnsi="Times New Roman"/>
          <w:color w:val="000000"/>
          <w:sz w:val="24"/>
          <w:u w:val="single"/>
        </w:rPr>
        <w:t>Section 8.08</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8.09 </w:t>
      </w:r>
      <w:r>
        <w:rPr>
          <w:rFonts w:ascii="Times New Roman" w:hAnsi="Times New Roman"/>
          <w:b w:val="false"/>
          <w:color w:val="000000"/>
          <w:sz w:val="24"/>
          <w:u w:val="single"/>
        </w:rPr>
        <w:t>Redemption Transaction Requirements</w:t>
      </w:r>
      <w:r>
        <w:rPr>
          <w:rFonts w:ascii="Times New Roman" w:hAnsi="Times New Roman"/>
          <w:b w:val="false"/>
          <w:color w:val="000000"/>
          <w:sz w:val="24"/>
        </w:rPr>
        <w:t>. In the event of a Redemption Transaction under this Article 8, each Member shall (a) take such actions as may be reasonably requested by the Company (or its designee) in order to effect such Redemption Transaction, (b) vote in favor of, consent to and raise no objections against such Redemption Transaction or the process pursuant to which such Redemption Transaction was arranged, and (c) execute and deliver such documents as may be reasonably requested by the Company (or its designee) in order to effect any such Redemption Transaction, including written consents of Members, proxies, letters of transmittal, purchase agreements and stock powers. On the applicable Redemption Closing Date, the selling Member(s) shall deliver certificates, if any, representing the Preferred Units to be repurchased or redeemed by the Company to the Company against delivery of the appropriate purchase price.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8.10 </w:t>
      </w:r>
      <w:r>
        <w:rPr>
          <w:rFonts w:ascii="Times New Roman" w:hAnsi="Times New Roman"/>
          <w:b w:val="false"/>
          <w:color w:val="000000"/>
          <w:sz w:val="24"/>
          <w:u w:val="single"/>
        </w:rPr>
        <w:t>Series B Participation Right.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(a) Before (and, in any event, at least ten (10) Business Days prior to) any Redemption Closing Date (other than a Series A Mandatory Redemption Closing Date or Series A1 Mandatory Redemption Closing Date), the Board of Managers, acting reasonably and in good faith, shall determine (i) the Fair Market Value of the Initial Vroom Units as of the date that the applicable Redemption Notice (other than a Series A Mandatory Redemption Notice or Series A1 Mandatory Redemption Notice) is delivered, and (ii) the implied IRR of such Initial Vroom Units since the Reference Date, including any distributions paid on the Initial Vroom Units since the Reference Date (the “</w:t>
      </w:r>
      <w:r>
        <w:rPr>
          <w:rFonts w:ascii="Times New Roman" w:hAnsi="Times New Roman"/>
          <w:b/>
          <w:color w:val="000000"/>
          <w:sz w:val="24"/>
          <w:u w:val="single"/>
        </w:rPr>
        <w:t>Implied IRR</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For purposes of this </w:t>
      </w:r>
      <w:r>
        <w:rPr>
          <w:rFonts w:ascii="Times New Roman" w:hAnsi="Times New Roman"/>
          <w:color w:val="000000"/>
          <w:sz w:val="24"/>
          <w:u w:val="single"/>
        </w:rPr>
        <w:t>Section 8.10</w:t>
      </w:r>
      <w:r>
        <w:rPr>
          <w:rFonts w:ascii="Times New Roman" w:hAnsi="Times New Roman"/>
          <w:color w:val="000000"/>
          <w:sz w:val="24"/>
        </w:rPr>
        <w:t>, the [***]</w:t>
      </w:r>
    </w:p>
    <w:p>
      <w:pPr>
        <w:pStyle w:val="TextBody"/>
        <w:bidi w:val="0"/>
        <w:spacing w:before="0" w:after="240"/>
        <w:jc w:val="both"/>
        <w:rPr>
          <w:rFonts w:ascii="Times New Roman" w:hAnsi="Times New Roman"/>
          <w:sz w:val="24"/>
        </w:rPr>
      </w:pPr>
      <w:r>
        <w:rPr>
          <w:rFonts w:ascii="Times New Roman" w:hAnsi="Times New Roman"/>
          <w:color w:val="000000"/>
          <w:sz w:val="24"/>
        </w:rPr>
        <w:t>(c) Promptly upon the determination of the Fair Market Value of the Initial Vroom Units and the Implied IRR (and, in any event, at least ten (10) Business Days prior to any Redemption Closing Date (other than a Series A Mandatory Redemption Closing Date or Series A1 Mandatory Redemption Closing Date)), the Board of Managers shall provide written notice to each Series B/B1 Preferred Member (including the Investor Member) who has delivered or received a Redemption Notice (other than a Series A Mandatory Redemption Notice or Series A1 Mandatory Redemption Notice) (the “</w:t>
      </w:r>
      <w:r>
        <w:rPr>
          <w:rFonts w:ascii="Times New Roman" w:hAnsi="Times New Roman"/>
          <w:b/>
          <w:color w:val="000000"/>
          <w:sz w:val="24"/>
          <w:u w:val="single"/>
        </w:rPr>
        <w:t>Participation Members</w:t>
      </w:r>
      <w:r>
        <w:rPr>
          <w:rFonts w:ascii="Times New Roman" w:hAnsi="Times New Roman"/>
          <w:color w:val="000000"/>
          <w:sz w:val="24"/>
        </w:rPr>
        <w:t xml:space="preserve">”) of such Fair Market Value and Implied IRR, including any applicable financial data and other materials used in such determination. If a majority in interest of such Participation Members (based on the number of Series B/B1 Preferred Units held by such Participation Members) dispute such determination and deliver to the Board of Managers a written notice of objection within ten (10) Business Days after the Board of Managers delivers its determination, the Company and such Participation Members will attempt in good faith to mutually agree upon such Fair Market Value and Implied IRR, but in the event that the parties are unable to agree within a ten (10) Business Day period (or such longer period as the parties may agree), the Fair Market Value and Implied IRR will be conclusively determined by an Independent Appraiser. Such Participation Members, on the one hand, and the Company, on the other hand, shall each be responsible for fifty percent (50%) of the costs of the Independent Appraiser, unless otherwise agreed in writing by such parties. Notwithstanding anything to the contrary herein, the applicable Redemption Closing Date (other than a Series A Mandatory Redemption Closing Date or Series A1 Mandatory Redemption Closing Date) and, in the case of a 382 Redemption, the consummation of the 382 Change Transaction, in each case, shall be delayed until the Fair Market Value and Implied IRR is definitively determined in accordance with this </w:t>
      </w:r>
      <w:r>
        <w:rPr>
          <w:rFonts w:ascii="Times New Roman" w:hAnsi="Times New Roman"/>
          <w:color w:val="000000"/>
          <w:sz w:val="24"/>
          <w:u w:val="single"/>
        </w:rPr>
        <w:t>Section 8.10(c)</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the Series A Redemption Price, Series A1 Redemption Price, Series B Redemption Price, Series B1 Redemption Price and/or Early Redemption Price (as applicable) shall reflect the actual Liquidation Preference and/or the actual Special Redemption Price (as applicable) of the Series A/A1 Preferred Units and/or Series B/B1 Preferred Units as of the actual Redemption Closing Date (other than a Series A Mandatory Redemption Closing Date or Series A1 Mandatory Redemption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the Implied IRR exceeds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8.11 </w:t>
      </w:r>
      <w:r>
        <w:rPr>
          <w:rFonts w:ascii="Times New Roman" w:hAnsi="Times New Roman"/>
          <w:b w:val="false"/>
          <w:color w:val="000000"/>
          <w:sz w:val="24"/>
          <w:u w:val="single"/>
        </w:rPr>
        <w:t>No Creditor Rights</w:t>
      </w:r>
      <w:r>
        <w:rPr>
          <w:rFonts w:ascii="Times New Roman" w:hAnsi="Times New Roman"/>
          <w:b w:val="false"/>
          <w:color w:val="000000"/>
          <w:sz w:val="24"/>
        </w:rPr>
        <w:t xml:space="preserve">. Notwithstanding any other provision herein to the contrary, but subject to </w:t>
      </w:r>
      <w:r>
        <w:rPr>
          <w:rFonts w:ascii="Times New Roman" w:hAnsi="Times New Roman"/>
          <w:b w:val="false"/>
          <w:color w:val="000000"/>
          <w:sz w:val="24"/>
          <w:u w:val="single"/>
        </w:rPr>
        <w:t>Section 8.06(b)</w:t>
      </w:r>
      <w:r>
        <w:rPr>
          <w:rFonts w:ascii="Times New Roman" w:hAnsi="Times New Roman"/>
          <w:b w:val="false"/>
          <w:color w:val="000000"/>
          <w:sz w:val="24"/>
        </w:rPr>
        <w:t xml:space="preserve">, in the event that the Company fails to redeem any Series B/B1 Preferred Units as provided in this Agreement, the Series B/B1 Preferred Members shall not have any rights as creditors with respect to such unredeemed Series B/B1 Preferred Units or any unpaid Series B Redemption Price, Series B1 Redemption Price or Early Redemption Price (as applicable). The rights of such Series B/B1 Preferred Members shall be limited to those rights expressly set forth in this Agreement as Members, including the right to convert such Series B/B1 Preferred Units into Common Units pursuant to </w:t>
      </w:r>
      <w:r>
        <w:rPr>
          <w:rFonts w:ascii="Times New Roman" w:hAnsi="Times New Roman"/>
          <w:b w:val="false"/>
          <w:color w:val="000000"/>
          <w:sz w:val="24"/>
          <w:u w:val="single"/>
        </w:rPr>
        <w:t>Section 3.08</w:t>
      </w:r>
      <w:r>
        <w:rPr>
          <w:rFonts w:ascii="Times New Roman" w:hAnsi="Times New Roman"/>
          <w:color w:val="000000"/>
          <w:sz w:val="24"/>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Section 8.06(b)</w:t>
      </w:r>
      <w:r>
        <w:rPr>
          <w:rFonts w:ascii="Times New Roman" w:hAnsi="Times New Roman"/>
          <w:b w:val="false"/>
          <w:color w:val="000000"/>
          <w:sz w:val="24"/>
        </w:rPr>
        <w:t>.</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9</w:t>
      </w:r>
      <w:r>
        <w:rPr>
          <w:rFonts w:ascii="Times New Roman" w:hAnsi="Times New Roman"/>
          <w:caps/>
          <w:color w:val="000000"/>
          <w:sz w:val="24"/>
          <w:u w:val="single"/>
        </w:rPr>
        <w:br/>
        <w:t>DISSOLUTION; LIQUIDATION</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9.01 </w:t>
      </w:r>
      <w:r>
        <w:rPr>
          <w:rFonts w:ascii="Times New Roman" w:hAnsi="Times New Roman"/>
          <w:b w:val="false"/>
          <w:color w:val="000000"/>
          <w:sz w:val="24"/>
          <w:u w:val="single"/>
        </w:rPr>
        <w:t>Dissolution</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3.09(b)</w:t>
      </w:r>
      <w:r>
        <w:rPr>
          <w:rFonts w:ascii="Times New Roman" w:hAnsi="Times New Roman"/>
          <w:b w:val="false"/>
          <w:color w:val="000000"/>
          <w:sz w:val="24"/>
        </w:rPr>
        <w:t>, the Company shall be dissolved and its affairs wound up on the first to occur of any of the following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decision of the Board of Managers to dissolve the Company;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no longer has any Members (subject to the terms of the Act).</w:t>
      </w:r>
    </w:p>
    <w:p>
      <w:pPr>
        <w:pStyle w:val="TextBody"/>
        <w:bidi w:val="0"/>
        <w:spacing w:before="0" w:after="240"/>
        <w:jc w:val="both"/>
        <w:rPr>
          <w:rFonts w:ascii="Times New Roman" w:hAnsi="Times New Roman"/>
          <w:sz w:val="24"/>
        </w:rPr>
      </w:pPr>
      <w:r>
        <w:rPr>
          <w:rFonts w:ascii="Times New Roman" w:hAnsi="Times New Roman"/>
          <w:color w:val="000000"/>
          <w:sz w:val="24"/>
        </w:rPr>
        <w:t>Notwithstanding anything to the contrary, the occurrence of any event set forth in Section 18-304 of the Act (</w:t>
      </w:r>
      <w:r>
        <w:rPr>
          <w:rFonts w:ascii="Times New Roman" w:hAnsi="Times New Roman"/>
          <w:i/>
          <w:color w:val="000000"/>
          <w:sz w:val="24"/>
        </w:rPr>
        <w:t>Events of Bankruptcy</w:t>
      </w:r>
      <w:r>
        <w:rPr>
          <w:rFonts w:ascii="Times New Roman" w:hAnsi="Times New Roman"/>
          <w:color w:val="000000"/>
          <w:sz w:val="24"/>
        </w:rPr>
        <w:t>) with respect to a Member (or similar bankruptcy or insolvency event under any Law governing such Member) shall not cause such Member to cease to be a Member and, upon the occurrence of such an event, the Company shall continue without dissolution. The Members waive the right to judicial dissolution set forth in Section 18-802 of the Act (</w:t>
      </w:r>
      <w:r>
        <w:rPr>
          <w:rFonts w:ascii="Times New Roman" w:hAnsi="Times New Roman"/>
          <w:i/>
          <w:color w:val="000000"/>
          <w:sz w:val="24"/>
        </w:rPr>
        <w:t>Judicial Dissolution</w:t>
      </w:r>
      <w:r>
        <w:rPr>
          <w:rFonts w:ascii="Times New Roman" w:hAnsi="Times New Roman"/>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9.02 </w:t>
      </w:r>
      <w:r>
        <w:rPr>
          <w:rFonts w:ascii="Times New Roman" w:hAnsi="Times New Roman"/>
          <w:b w:val="false"/>
          <w:color w:val="000000"/>
          <w:sz w:val="24"/>
          <w:u w:val="single"/>
        </w:rPr>
        <w:t>Final Accounting</w:t>
      </w:r>
      <w:r>
        <w:rPr>
          <w:rFonts w:ascii="Times New Roman" w:hAnsi="Times New Roman"/>
          <w:b w:val="false"/>
          <w:color w:val="000000"/>
          <w:sz w:val="24"/>
        </w:rPr>
        <w:t>. Upon the dissolution of the Company, a proper accounting shall be made from the date of the last previous accounting to the date of dissolution.</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9.03 </w:t>
      </w:r>
      <w:r>
        <w:rPr>
          <w:rFonts w:ascii="Times New Roman" w:hAnsi="Times New Roman"/>
          <w:b w:val="false"/>
          <w:color w:val="000000"/>
          <w:sz w:val="24"/>
          <w:u w:val="single"/>
        </w:rPr>
        <w:t>Liquidation.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Dissolution of the Company shall be effective as of the date on which the event occurs giving rise to the dissolution and all Members shall be given prompt notice thereof in accordance with </w:t>
      </w:r>
      <w:r>
        <w:rPr>
          <w:rFonts w:ascii="Times New Roman" w:hAnsi="Times New Roman"/>
          <w:color w:val="000000"/>
          <w:sz w:val="24"/>
          <w:u w:val="single"/>
        </w:rPr>
        <w:t>Article 11</w:t>
      </w:r>
      <w:r>
        <w:rPr>
          <w:rFonts w:ascii="Times New Roman" w:hAnsi="Times New Roman"/>
          <w:color w:val="000000"/>
          <w:sz w:val="24"/>
        </w:rPr>
        <w:t xml:space="preserve">, but the Company shall not terminate until the assets of the Company have been distributed as provided for in </w:t>
      </w:r>
      <w:r>
        <w:rPr>
          <w:rFonts w:ascii="Times New Roman" w:hAnsi="Times New Roman"/>
          <w:color w:val="000000"/>
          <w:sz w:val="24"/>
          <w:u w:val="single"/>
        </w:rPr>
        <w:t>Section 9.03(c)</w:t>
      </w:r>
      <w:r>
        <w:rPr>
          <w:rFonts w:ascii="Times New Roman" w:hAnsi="Times New Roman"/>
          <w:color w:val="000000"/>
          <w:sz w:val="24"/>
        </w:rPr>
        <w:t xml:space="preserve"> and the filing of a certificate of cancellation of the Certificate. Notwithstanding the dissolution of the Company, prior to the termination of the Company, the business, assets and affairs of the Company shall continue to be governed by this Agreement.</w:t>
      </w:r>
    </w:p>
    <w:p>
      <w:pPr>
        <w:pStyle w:val="TextBody"/>
        <w:bidi w:val="0"/>
        <w:spacing w:before="0" w:after="240"/>
        <w:jc w:val="both"/>
        <w:rPr>
          <w:rFonts w:ascii="Times New Roman" w:hAnsi="Times New Roman"/>
          <w:sz w:val="24"/>
        </w:rPr>
      </w:pPr>
      <w:r>
        <w:rPr>
          <w:rFonts w:ascii="Times New Roman" w:hAnsi="Times New Roman"/>
          <w:color w:val="000000"/>
          <w:sz w:val="24"/>
        </w:rPr>
        <w:t>(b) Upon the dissolution of the Company, the Board of Managers, or, if there is no Board of Managers, a Person selected by the Members shall act as the liquidator (the “</w:t>
      </w:r>
      <w:r>
        <w:rPr>
          <w:rFonts w:ascii="Times New Roman" w:hAnsi="Times New Roman"/>
          <w:b/>
          <w:color w:val="000000"/>
          <w:sz w:val="24"/>
          <w:u w:val="single"/>
        </w:rPr>
        <w:t>Liquidator</w:t>
      </w:r>
      <w:r>
        <w:rPr>
          <w:rFonts w:ascii="Times New Roman" w:hAnsi="Times New Roman"/>
          <w:color w:val="000000"/>
          <w:sz w:val="24"/>
        </w:rPr>
        <w:t>”) of the Company to wind up the Company. The Liquidator shall have full power and authority to sell, assign and encumber any or all of the Company’s assets and to wind up and liquidate the affairs of the Company in an orderly and business-like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Liquidator shall distribute all proceeds from liquidation in the following order of priority:</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w:t>
      </w:r>
      <w:r>
        <w:rPr>
          <w:rFonts w:ascii="Times New Roman" w:hAnsi="Times New Roman"/>
          <w:i/>
          <w:color w:val="000000"/>
          <w:sz w:val="24"/>
        </w:rPr>
        <w:t>first</w:t>
      </w:r>
      <w:r>
        <w:rPr>
          <w:rFonts w:ascii="Times New Roman" w:hAnsi="Times New Roman"/>
          <w:color w:val="000000"/>
          <w:sz w:val="24"/>
        </w:rPr>
        <w:t>, to creditors of the Company (including creditors who are Members) in satisfaction of the liabilities of the Company (whether by payment or the making of reasonable provision for payment thereof); and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(ii) </w:t>
      </w:r>
      <w:r>
        <w:rPr>
          <w:rFonts w:ascii="Times New Roman" w:hAnsi="Times New Roman"/>
          <w:i/>
          <w:color w:val="000000"/>
          <w:sz w:val="24"/>
        </w:rPr>
        <w:t>second</w:t>
      </w:r>
      <w:r>
        <w:rPr>
          <w:rFonts w:ascii="Times New Roman" w:hAnsi="Times New Roman"/>
          <w:color w:val="000000"/>
          <w:sz w:val="24"/>
        </w:rPr>
        <w:t xml:space="preserve">, to the Members in the same manner in which distributions are made pursuant to </w:t>
      </w:r>
      <w:r>
        <w:rPr>
          <w:rFonts w:ascii="Times New Roman" w:hAnsi="Times New Roman"/>
          <w:color w:val="000000"/>
          <w:sz w:val="24"/>
          <w:u w:val="single"/>
        </w:rPr>
        <w:t>Section 5.05</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The Liquidator shall determine whether any assets of the Company shall be liquidated through sale or shall be distributed in kind. A distribution in kind of an asset to a Member shall be considered, for the purposes of this </w:t>
      </w:r>
      <w:r>
        <w:rPr>
          <w:rFonts w:ascii="Times New Roman" w:hAnsi="Times New Roman"/>
          <w:color w:val="000000"/>
          <w:sz w:val="24"/>
          <w:u w:val="single"/>
        </w:rPr>
        <w:t>Article 9</w:t>
      </w:r>
      <w:r>
        <w:rPr>
          <w:rFonts w:ascii="Times New Roman" w:hAnsi="Times New Roman"/>
          <w:color w:val="000000"/>
          <w:sz w:val="24"/>
        </w:rPr>
        <w:t>, a distribution in an amount equal to the fair market value of the assets so distributed as determined by the Liquidator in its reasonable discretion.</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9.04 </w:t>
      </w:r>
      <w:r>
        <w:rPr>
          <w:rFonts w:ascii="Times New Roman" w:hAnsi="Times New Roman"/>
          <w:b w:val="false"/>
          <w:color w:val="000000"/>
          <w:sz w:val="24"/>
          <w:u w:val="single"/>
        </w:rPr>
        <w:t>Cancellation of Certificate</w:t>
      </w:r>
      <w:r>
        <w:rPr>
          <w:rFonts w:ascii="Times New Roman" w:hAnsi="Times New Roman"/>
          <w:b w:val="false"/>
          <w:color w:val="000000"/>
          <w:sz w:val="24"/>
        </w:rPr>
        <w:t xml:space="preserve">. Upon the completion of the distribution of Company assets as provided in </w:t>
      </w:r>
      <w:r>
        <w:rPr>
          <w:rFonts w:ascii="Times New Roman" w:hAnsi="Times New Roman"/>
          <w:b w:val="false"/>
          <w:color w:val="000000"/>
          <w:sz w:val="24"/>
          <w:u w:val="single"/>
        </w:rPr>
        <w:t>Section 9.03</w:t>
      </w:r>
      <w:r>
        <w:rPr>
          <w:rFonts w:ascii="Times New Roman" w:hAnsi="Times New Roman"/>
          <w:b w:val="false"/>
          <w:color w:val="000000"/>
          <w:sz w:val="24"/>
        </w:rPr>
        <w:t>, the Company shall be terminated and the person acting as Liquidator shall cause the cancellation of the Certificate in accordance with the Act and shall take such other actions as may be necessary or appropriate to terminate the Company.</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10</w:t>
      </w:r>
      <w:r>
        <w:rPr>
          <w:rFonts w:ascii="Times New Roman" w:hAnsi="Times New Roman"/>
          <w:caps/>
          <w:color w:val="000000"/>
          <w:sz w:val="24"/>
          <w:u w:val="single"/>
        </w:rPr>
        <w:br/>
        <w:t>AMENDMENTS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10.01 </w:t>
      </w:r>
      <w:r>
        <w:rPr>
          <w:rFonts w:ascii="Times New Roman" w:hAnsi="Times New Roman"/>
          <w:b w:val="false"/>
          <w:color w:val="000000"/>
          <w:sz w:val="24"/>
          <w:u w:val="single"/>
        </w:rPr>
        <w:t>Amendments by the Members</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3.09(b)</w:t>
      </w:r>
      <w:r>
        <w:rPr>
          <w:rFonts w:ascii="Times New Roman" w:hAnsi="Times New Roman"/>
          <w:b w:val="false"/>
          <w:color w:val="000000"/>
          <w:sz w:val="24"/>
        </w:rPr>
        <w:t>, this Agreement and the Certificate may be modified, amended or waived from time to time by a Majority in Interest of the Members; provided, that, any amendment, modification or waiver that adversely affects any Member shall require the prior written consent of such adversely affected Member.</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11</w:t>
      </w:r>
      <w:r>
        <w:rPr>
          <w:rFonts w:ascii="Times New Roman" w:hAnsi="Times New Roman"/>
          <w:caps/>
          <w:color w:val="000000"/>
          <w:sz w:val="24"/>
          <w:u w:val="single"/>
        </w:rPr>
        <w:br/>
        <w:t>NOTICES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11.01 </w:t>
      </w:r>
      <w:r>
        <w:rPr>
          <w:rFonts w:ascii="Times New Roman" w:hAnsi="Times New Roman"/>
          <w:b w:val="false"/>
          <w:color w:val="000000"/>
          <w:sz w:val="24"/>
          <w:u w:val="single"/>
        </w:rPr>
        <w:t>Notices</w:t>
      </w:r>
      <w:r>
        <w:rPr>
          <w:rFonts w:ascii="Times New Roman" w:hAnsi="Times New Roman"/>
          <w:b w:val="false"/>
          <w:color w:val="000000"/>
          <w:sz w:val="24"/>
        </w:rPr>
        <w:t xml:space="preserve">. All notices and other communications given or made pursuant to this Agreement shall be in writing (including electronic mail as permitted in this Agreement) and shall be deemed effectively given upon the earlier of actual receipt, or (a) personal delivery to the party to be notified, (b) when sent, if sent by electronic mail during normal business hours of the recipient, and if not sent during normal business hours, then on the recipient’s next business day, (c) 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set forth below, or to such email address as subsequently modified by written notice given in accordance with this </w:t>
      </w:r>
      <w:r>
        <w:rPr>
          <w:rFonts w:ascii="Times New Roman" w:hAnsi="Times New Roman"/>
          <w:b w:val="false"/>
          <w:color w:val="000000"/>
          <w:sz w:val="24"/>
          <w:u w:val="single"/>
        </w:rPr>
        <w:t>Section 11.01</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to the Company, to:</w:t>
      </w:r>
    </w:p>
    <w:p>
      <w:pPr>
        <w:pStyle w:val="TextBody"/>
        <w:bidi w:val="0"/>
        <w:jc w:val="left"/>
        <w:rPr>
          <w:rFonts w:ascii="Times New Roman" w:hAnsi="Times New Roman"/>
          <w:color w:val="000000"/>
          <w:sz w:val="24"/>
        </w:rPr>
      </w:pPr>
      <w:r>
        <w:rPr>
          <w:rFonts w:ascii="Times New Roman" w:hAnsi="Times New Roman"/>
          <w:color w:val="000000"/>
          <w:sz w:val="24"/>
        </w:rPr>
        <w:t>Vroom Automotive, LLC</w:t>
      </w:r>
    </w:p>
    <w:p>
      <w:pPr>
        <w:pStyle w:val="TextBody"/>
        <w:bidi w:val="0"/>
        <w:jc w:val="left"/>
        <w:rPr>
          <w:rFonts w:ascii="Times New Roman" w:hAnsi="Times New Roman"/>
          <w:color w:val="000000"/>
          <w:sz w:val="24"/>
        </w:rPr>
      </w:pPr>
      <w:r>
        <w:rPr>
          <w:rFonts w:ascii="Times New Roman" w:hAnsi="Times New Roman"/>
          <w:color w:val="000000"/>
          <w:sz w:val="24"/>
        </w:rPr>
        <w:t>4700 Mercantile Drive</w:t>
      </w:r>
    </w:p>
    <w:p>
      <w:pPr>
        <w:pStyle w:val="TextBody"/>
        <w:bidi w:val="0"/>
        <w:jc w:val="left"/>
        <w:rPr>
          <w:rFonts w:ascii="Times New Roman" w:hAnsi="Times New Roman"/>
          <w:color w:val="000000"/>
          <w:sz w:val="24"/>
        </w:rPr>
      </w:pPr>
      <w:r>
        <w:rPr>
          <w:rFonts w:ascii="Times New Roman" w:hAnsi="Times New Roman"/>
          <w:color w:val="000000"/>
          <w:sz w:val="24"/>
        </w:rPr>
        <w:t>Fort Worth, TX 76137</w:t>
      </w:r>
    </w:p>
    <w:p>
      <w:pPr>
        <w:pStyle w:val="TextBody"/>
        <w:bidi w:val="0"/>
        <w:jc w:val="left"/>
        <w:rPr>
          <w:rFonts w:ascii="Times New Roman" w:hAnsi="Times New Roman"/>
          <w:color w:val="000000"/>
          <w:sz w:val="24"/>
        </w:rPr>
      </w:pPr>
      <w:r>
        <w:rPr>
          <w:rFonts w:ascii="Times New Roman" w:hAnsi="Times New Roman"/>
          <w:color w:val="000000"/>
          <w:sz w:val="24"/>
        </w:rPr>
        <w:t>legal@vroom.com</w:t>
      </w:r>
    </w:p>
    <w:p>
      <w:pPr>
        <w:pStyle w:val="TextBody"/>
        <w:bidi w:val="0"/>
        <w:jc w:val="left"/>
        <w:rPr>
          <w:rFonts w:ascii="Times New Roman" w:hAnsi="Times New Roman"/>
          <w:color w:val="000000"/>
          <w:sz w:val="24"/>
        </w:rPr>
      </w:pPr>
      <w:r>
        <w:rPr>
          <w:rFonts w:ascii="Times New Roman" w:hAnsi="Times New Roman"/>
          <w:color w:val="000000"/>
          <w:sz w:val="24"/>
        </w:rPr>
        <w:t>Attn: Chief Legal Officer</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If to the Vroom Member or Vroom Parent, to: </w:t>
      </w:r>
    </w:p>
    <w:p>
      <w:pPr>
        <w:pStyle w:val="TextBody"/>
        <w:bidi w:val="0"/>
        <w:jc w:val="left"/>
        <w:rPr>
          <w:rFonts w:ascii="Times New Roman" w:hAnsi="Times New Roman"/>
          <w:color w:val="000000"/>
          <w:sz w:val="24"/>
        </w:rPr>
      </w:pPr>
      <w:r>
        <w:rPr>
          <w:rFonts w:ascii="Times New Roman" w:hAnsi="Times New Roman"/>
          <w:color w:val="000000"/>
          <w:sz w:val="24"/>
        </w:rPr>
        <w:t>Vroom, Inc.</w:t>
        <w:br/>
        <w:t>4700 Mercantile Drive</w:t>
      </w:r>
    </w:p>
    <w:p>
      <w:pPr>
        <w:pStyle w:val="TextBody"/>
        <w:bidi w:val="0"/>
        <w:jc w:val="left"/>
        <w:rPr>
          <w:rFonts w:ascii="Times New Roman" w:hAnsi="Times New Roman"/>
          <w:color w:val="000000"/>
          <w:sz w:val="24"/>
        </w:rPr>
      </w:pPr>
      <w:r>
        <w:rPr>
          <w:rFonts w:ascii="Times New Roman" w:hAnsi="Times New Roman"/>
          <w:color w:val="000000"/>
          <w:sz w:val="24"/>
        </w:rPr>
        <w:t>Fort Worth, TX 76137</w:t>
      </w:r>
    </w:p>
    <w:p>
      <w:pPr>
        <w:pStyle w:val="TextBody"/>
        <w:bidi w:val="0"/>
        <w:jc w:val="left"/>
        <w:rPr>
          <w:rFonts w:ascii="Times New Roman" w:hAnsi="Times New Roman"/>
          <w:color w:val="000000"/>
          <w:sz w:val="24"/>
        </w:rPr>
      </w:pPr>
      <w:r>
        <w:rPr>
          <w:rFonts w:ascii="Times New Roman" w:hAnsi="Times New Roman"/>
          <w:color w:val="000000"/>
          <w:sz w:val="24"/>
        </w:rPr>
        <w:t>legal@vroom.com</w:t>
      </w:r>
    </w:p>
    <w:p>
      <w:pPr>
        <w:pStyle w:val="TextBody"/>
        <w:bidi w:val="0"/>
        <w:jc w:val="left"/>
        <w:rPr>
          <w:rFonts w:ascii="Times New Roman" w:hAnsi="Times New Roman"/>
          <w:color w:val="000000"/>
          <w:sz w:val="24"/>
        </w:rPr>
      </w:pPr>
      <w:r>
        <w:rPr>
          <w:rFonts w:ascii="Times New Roman" w:hAnsi="Times New Roman"/>
          <w:color w:val="000000"/>
          <w:sz w:val="24"/>
        </w:rPr>
        <w:t xml:space="preserve">Attn: Chief Legal Officer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If to the Investor Member, to:</w:t>
      </w:r>
    </w:p>
    <w:p>
      <w:pPr>
        <w:pStyle w:val="TextBody"/>
        <w:bidi w:val="0"/>
        <w:jc w:val="left"/>
        <w:rPr>
          <w:rFonts w:ascii="Times New Roman" w:hAnsi="Times New Roman"/>
          <w:color w:val="000000"/>
          <w:sz w:val="24"/>
        </w:rPr>
      </w:pPr>
      <w:r>
        <w:rPr>
          <w:rFonts w:ascii="Times New Roman" w:hAnsi="Times New Roman"/>
          <w:color w:val="000000"/>
          <w:sz w:val="24"/>
        </w:rPr>
        <w:t>SPE Holdings 2026-1</w:t>
        <w:br/>
        <w:t>c/o UMB Delaware Inc.</w:t>
      </w:r>
    </w:p>
    <w:p>
      <w:pPr>
        <w:pStyle w:val="TextBody"/>
        <w:bidi w:val="0"/>
        <w:jc w:val="left"/>
        <w:rPr>
          <w:rFonts w:ascii="Times New Roman" w:hAnsi="Times New Roman"/>
          <w:color w:val="000000"/>
          <w:sz w:val="24"/>
        </w:rPr>
      </w:pPr>
      <w:r>
        <w:rPr>
          <w:rFonts w:ascii="Times New Roman" w:hAnsi="Times New Roman"/>
          <w:color w:val="000000"/>
          <w:sz w:val="24"/>
        </w:rPr>
        <w:t>405 Silverside Road, Suite 101</w:t>
      </w:r>
    </w:p>
    <w:p>
      <w:pPr>
        <w:pStyle w:val="TextBody"/>
        <w:bidi w:val="0"/>
        <w:jc w:val="left"/>
        <w:rPr>
          <w:rFonts w:ascii="Times New Roman" w:hAnsi="Times New Roman"/>
          <w:color w:val="000000"/>
          <w:sz w:val="24"/>
        </w:rPr>
      </w:pPr>
      <w:r>
        <w:rPr>
          <w:rFonts w:ascii="Times New Roman" w:hAnsi="Times New Roman"/>
          <w:color w:val="000000"/>
          <w:sz w:val="24"/>
        </w:rPr>
        <w:t>Wilmington, Delaware 19809</w:t>
        <w:br/>
        <w:br/>
        <w:t>with a copy (which shall not constitute notice) to:</w:t>
        <w:br/>
        <w:br/>
        <w:t>Sidley Austin LLP</w:t>
        <w:br/>
        <w:t>787 Seventh Avenue</w:t>
        <w:br/>
        <w:t>New York, NY 10019</w:t>
        <w:br/>
        <w:t>Attention: Asi Kirmayer, [***] and Robert Garritano</w:t>
        <w:br/>
        <w:t>Email: akirmayer@sidley.com, [***] and rgarritano@sidley.com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to any other Member, to the address or email set forth on the books of the Company or any other address or email as such Member may hereafter specify for such purpose to the Company.</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12</w:t>
      </w:r>
      <w:r>
        <w:rPr>
          <w:rFonts w:ascii="Times New Roman" w:hAnsi="Times New Roman"/>
          <w:caps/>
          <w:color w:val="000000"/>
          <w:sz w:val="24"/>
          <w:u w:val="single"/>
        </w:rPr>
        <w:br/>
        <w:t>COVENANTS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12.01 </w:t>
      </w:r>
      <w:r>
        <w:rPr>
          <w:rFonts w:ascii="Times New Roman" w:hAnsi="Times New Roman"/>
          <w:b w:val="false"/>
          <w:color w:val="000000"/>
          <w:sz w:val="24"/>
          <w:u w:val="single"/>
        </w:rPr>
        <w:t>Confidentiality</w:t>
      </w:r>
      <w:r>
        <w:rPr>
          <w:rFonts w:ascii="Times New Roman" w:hAnsi="Times New Roman"/>
          <w:b w:val="false"/>
          <w:color w:val="000000"/>
          <w:sz w:val="24"/>
        </w:rPr>
        <w:t>. The Members acknowledge that they may, as a result of their ownership of Units or their designees’ service on the Board of Managers (if applicable), receive information from or regarding the Company, any of its Subsidiaries, the other Members, or Affiliates of any of the foregoing in the nature of trade secrets or that otherwise is confidential, the release of which may be damaging to the Company, any of its Subsidiaries (including Persons with whom they may conduct business), the other Members, or Affiliates of any of the foregoing. Each Member shall hold in confidence, and not use for any purpose other than monitoring its investment in the Company, any information it receives regarding the Company, any of its Subsidiaries (including Persons with whom they may conduct business), the other Members, or Affiliates of any of the foregoing that is identified as, or would reasonably be expected to be, confidential, and shall not disclose it to any Person (other than another Member) except for disclosures (a) compelled by Law or required or requested by subpoena or request from a court, regulator or a stock exchange (provided, however, that the Member shall notify the Company or the Member affected by such disclosure, as applicable, promptly and prior to making such disclosure, if practicable, and shall disclose only that portion of such information required to be</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disclosed and shall use all reasonable efforts to preserve the confidentiality thereof), (b) to Affiliates, advisers (including legal counsel and accountants), agents, equityholders, directors, employees, members, shareholders, partners or representatives of the Member (provided, however, that such Affiliates, advisors, or representatives are informed of the confidential nature of such information, and that the disclosing Member remains liable for any breach by its Affiliates, advisors and/or representatives), (c) of information that the Member also has received from a source independent of the Company, any of its Subsidiaries, any other Member, or Affiliates of any of the foregoing, as applicable, that the Member reasonably believes obtained that information without breach of any obligation of confidentiality, (d) to any Person to which such Member Transfers or may Transfer any of its Units in compliance with this Agreement so long as the transferor first obtains a confidentiality agreement executed by the proposed transferee, at least as protective as this </w:t>
      </w:r>
      <w:r>
        <w:rPr>
          <w:rFonts w:ascii="Times New Roman" w:hAnsi="Times New Roman"/>
          <w:b w:val="false"/>
          <w:color w:val="000000"/>
          <w:sz w:val="24"/>
          <w:u w:val="single"/>
        </w:rPr>
        <w:t>Section 12.01</w:t>
      </w:r>
      <w:r>
        <w:rPr>
          <w:rFonts w:ascii="Times New Roman" w:hAnsi="Times New Roman"/>
          <w:b w:val="false"/>
          <w:color w:val="000000"/>
          <w:sz w:val="24"/>
        </w:rPr>
        <w:t xml:space="preserve">, (e) permitted by the Company or Member affected by such disclosure, as applicable, or (f) by any Member that is a private equity fund, hedge fund or institutional investor to its investors, potential investors, members, partners, financing sources or Affiliates or otherwise as reasonably required in connection with ordinary course fundraising, marketing, information, transactional or other reporting activities, so long as any recipient is made aware of the confidentiality nature of such information and subject to substantially similar confidentiality requirements. The Members agree that breach of the provisions of this </w:t>
      </w:r>
      <w:r>
        <w:rPr>
          <w:rFonts w:ascii="Times New Roman" w:hAnsi="Times New Roman"/>
          <w:b w:val="false"/>
          <w:color w:val="000000"/>
          <w:sz w:val="24"/>
          <w:u w:val="single"/>
        </w:rPr>
        <w:t>Section 12.01</w:t>
      </w:r>
      <w:r>
        <w:rPr>
          <w:rFonts w:ascii="Times New Roman" w:hAnsi="Times New Roman"/>
          <w:color w:val="000000"/>
          <w:sz w:val="24"/>
        </w:rPr>
        <w:t xml:space="preserve"> </w:t>
      </w:r>
      <w:r>
        <w:rPr>
          <w:rFonts w:ascii="Times New Roman" w:hAnsi="Times New Roman"/>
          <w:b w:val="false"/>
          <w:color w:val="000000"/>
          <w:sz w:val="24"/>
        </w:rPr>
        <w:t xml:space="preserve">may cause irreparable injury to the Company or the other Members for which monetary damages (or other remedy at law) are inadequate in view of (i) the complexities and uncertainties in measuring the actual damages that would be sustained by reason of the failure of a Member to comply with such provisions and (ii) the uniqueness of the Company’s and each other Member’s business and the confidential nature of the information described in this </w:t>
      </w:r>
      <w:r>
        <w:rPr>
          <w:rFonts w:ascii="Times New Roman" w:hAnsi="Times New Roman"/>
          <w:b w:val="false"/>
          <w:color w:val="000000"/>
          <w:sz w:val="24"/>
          <w:u w:val="single"/>
        </w:rPr>
        <w:t>Section 12.01</w:t>
      </w:r>
      <w:r>
        <w:rPr>
          <w:rFonts w:ascii="Times New Roman" w:hAnsi="Times New Roman"/>
          <w:b w:val="false"/>
          <w:color w:val="000000"/>
          <w:sz w:val="24"/>
        </w:rPr>
        <w:t xml:space="preserve">. Accordingly, the Members agree that the provisions of this </w:t>
      </w:r>
      <w:r>
        <w:rPr>
          <w:rFonts w:ascii="Times New Roman" w:hAnsi="Times New Roman"/>
          <w:b w:val="false"/>
          <w:color w:val="000000"/>
          <w:sz w:val="24"/>
          <w:u w:val="single"/>
        </w:rPr>
        <w:t>Section 12.01</w:t>
      </w:r>
      <w:r>
        <w:rPr>
          <w:rFonts w:ascii="Times New Roman" w:hAnsi="Times New Roman"/>
          <w:color w:val="000000"/>
          <w:sz w:val="24"/>
        </w:rPr>
        <w:t xml:space="preserve"> </w:t>
      </w:r>
      <w:r>
        <w:rPr>
          <w:rFonts w:ascii="Times New Roman" w:hAnsi="Times New Roman"/>
          <w:b w:val="false"/>
          <w:color w:val="000000"/>
          <w:sz w:val="24"/>
        </w:rPr>
        <w:t xml:space="preserve">may be enforced by specific performance, injunction or other equitable relief. The Company, other Members’ and their Affiliates’ right to seek specific performance, injunction or other equitable relief pursuant to this </w:t>
      </w:r>
      <w:r>
        <w:rPr>
          <w:rFonts w:ascii="Times New Roman" w:hAnsi="Times New Roman"/>
          <w:b w:val="false"/>
          <w:color w:val="000000"/>
          <w:sz w:val="24"/>
          <w:u w:val="single"/>
        </w:rPr>
        <w:t>Section 12.01</w:t>
      </w:r>
      <w:r>
        <w:rPr>
          <w:rFonts w:ascii="Times New Roman" w:hAnsi="Times New Roman"/>
          <w:color w:val="000000"/>
          <w:sz w:val="24"/>
        </w:rPr>
        <w:t xml:space="preserve"> </w:t>
      </w:r>
      <w:r>
        <w:rPr>
          <w:rFonts w:ascii="Times New Roman" w:hAnsi="Times New Roman"/>
          <w:b w:val="false"/>
          <w:color w:val="000000"/>
          <w:sz w:val="24"/>
        </w:rPr>
        <w:t xml:space="preserve">will be in addition to any other remedies they may have at law or in equity. No waiver of any violation of this Agreement will be implied from any failure by the Company, other Members or their Affiliates to take action under this </w:t>
      </w:r>
      <w:r>
        <w:rPr>
          <w:rFonts w:ascii="Times New Roman" w:hAnsi="Times New Roman"/>
          <w:b w:val="false"/>
          <w:color w:val="000000"/>
          <w:sz w:val="24"/>
          <w:u w:val="single"/>
        </w:rPr>
        <w:t>Section 12.01</w:t>
      </w:r>
      <w:r>
        <w:rPr>
          <w:rFonts w:ascii="Times New Roman" w:hAnsi="Times New Roman"/>
          <w:b w:val="false"/>
          <w:color w:val="000000"/>
          <w:sz w:val="24"/>
        </w:rPr>
        <w: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12.02 </w:t>
      </w:r>
      <w:r>
        <w:rPr>
          <w:rFonts w:ascii="Times New Roman" w:hAnsi="Times New Roman"/>
          <w:b w:val="false"/>
          <w:color w:val="000000"/>
          <w:sz w:val="24"/>
          <w:u w:val="single"/>
        </w:rPr>
        <w:t>Residual Interests.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In the event that any Residual Interests are acquired by or transferred to the Company in accordance with </w:t>
      </w:r>
      <w:r>
        <w:rPr>
          <w:rFonts w:ascii="Times New Roman" w:hAnsi="Times New Roman"/>
          <w:color w:val="000000"/>
          <w:sz w:val="24"/>
          <w:u w:val="single"/>
        </w:rPr>
        <w:t>Section 12.02(b)</w:t>
      </w:r>
      <w:r>
        <w:rPr>
          <w:rFonts w:ascii="Times New Roman" w:hAnsi="Times New Roman"/>
          <w:color w:val="000000"/>
          <w:sz w:val="24"/>
        </w:rPr>
        <w:t xml:space="preserve"> or in connection with a [***], the terms and documentation related to such Residual Interests shall be substantially similar to the UACST 2025-1 Documentation.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The Company may, without the prior written consent of the Investor Member, use Excess Cash to acquire any additional [***]. For the avoidance of doubt, other than in connection with a [***] or in accordance with this </w:t>
      </w:r>
      <w:r>
        <w:rPr>
          <w:rFonts w:ascii="Times New Roman" w:hAnsi="Times New Roman"/>
          <w:color w:val="000000"/>
          <w:sz w:val="24"/>
          <w:u w:val="single"/>
        </w:rPr>
        <w:t>Section 12.02(b)</w:t>
      </w:r>
      <w:r>
        <w:rPr>
          <w:rFonts w:ascii="Times New Roman" w:hAnsi="Times New Roman"/>
          <w:color w:val="000000"/>
          <w:sz w:val="24"/>
        </w:rPr>
        <w:t>, Residual Interests may not be acquired by or transferred to the Company, without the prior written consent of the Investor Member.</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12.03 </w:t>
      </w:r>
      <w:r>
        <w:rPr>
          <w:rFonts w:ascii="Times New Roman" w:hAnsi="Times New Roman"/>
          <w:b w:val="false"/>
          <w:color w:val="000000"/>
          <w:sz w:val="24"/>
          <w:u w:val="single"/>
        </w:rPr>
        <w:t>Regulatory Compliance</w:t>
      </w:r>
      <w:r>
        <w:rPr>
          <w:rFonts w:ascii="Times New Roman" w:hAnsi="Times New Roman"/>
          <w:b w:val="false"/>
          <w:color w:val="000000"/>
          <w:sz w:val="24"/>
        </w:rPr>
        <w:t>. The Company shall not take, and shall not permit its Subsidiaries to take, any action (or omit to take any action) that would cause the Investor Member to be in violation of any applicable Laws or regulations by reason of the Investor Member’s ownership of the Preferred Units or any other Securities of the Company. Without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limiting the foregoing, the Company shall take, and shall cause its Subsidiaries to take, any actions (or shall omit to take any actions) requested by the Investor Member (including, without limitation, amending this Agreement and its organizational documents, and limiting or restricting its business activities) as are necessary in order to ensure that the Investor Member is not in violation of any applicable Laws or regulations by reason of its ownership of the Preferred Units or any other Securities of the Company. Without limiting the foregoing, this shall include: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engaging solely in activities that constitute [***] and activities that are incidental or complementary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using good faith efforts to comply in all respects with all applicable Laws, orders and decrees of any Governmental Authority having jurisdiction over the Company or its Subsidiaries, and promptly notifying the Investor Member in writing of any violation or alleged violation of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establishing, maintaining and enforcing, policies and procedures reasonably designed to ensure ongoing compliance with all applicable Laws, and reviewing such policies and procedures at least annually and updating them as necessary to maintain effectiveness;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 permitting the Investor Member to inspect and audit the Company’s and its Subsidiaries’ policies and procedures, (ii) complying with such policies and procedures, and (iii) taking all steps to implement any reasonable revisions or remedial actions proposed by the Investor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taking all actions reasonably requested by the Investor Member to remediate [***] violations of applicable Law identified by the Investor Member or any Governmental Authority, including the timely adoption and implementation of corrective action plans;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making any equity investments in any Person, except (i) as expressly permitted by this Agreement or (ii) as consented to in writing by the Investor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promptly provide any information, documents or certifications requested by [***] or any Governmental Authority with jurisdiction over the Investor Member;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consulting with the Investor Member before any Member, Officer or employee of the Company, accepts or holds any management or board positions at any financial institution; and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within forty-five (45) days after the end of each fiscal half-year, the Company shall deliver to the Investor Member a compliance certificate executed by an authorized officer of the Company certifying that (i) the Company and its Subsidiaries are in material compliance with this </w:t>
      </w:r>
      <w:r>
        <w:rPr>
          <w:rFonts w:ascii="Times New Roman" w:hAnsi="Times New Roman"/>
          <w:color w:val="000000"/>
          <w:sz w:val="24"/>
          <w:u w:val="single"/>
        </w:rPr>
        <w:t>Section 12.03</w:t>
      </w:r>
      <w:r>
        <w:rPr>
          <w:rFonts w:ascii="Times New Roman" w:hAnsi="Times New Roman"/>
          <w:color w:val="000000"/>
          <w:sz w:val="24"/>
        </w:rPr>
        <w:t xml:space="preserve"> and, to the Company’s knowledge all applicable Laws, and (ii) to the Company’s knowledge, no event or circumstance exists that would reasonably be expected to cause the Investor Member or any of its Affiliates to violate any applicable Law by reason of its ownership of the Preferred Units or any other Securities.</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12.04 </w:t>
      </w:r>
      <w:r>
        <w:rPr>
          <w:rFonts w:ascii="Times New Roman" w:hAnsi="Times New Roman"/>
          <w:b w:val="false"/>
          <w:color w:val="000000"/>
          <w:sz w:val="24"/>
          <w:u w:val="single"/>
        </w:rPr>
        <w:t>Information Rights</w:t>
      </w:r>
      <w:r>
        <w:rPr>
          <w:rFonts w:ascii="Times New Roman" w:hAnsi="Times New Roman"/>
          <w:b w:val="false"/>
          <w:color w:val="000000"/>
          <w:sz w:val="24"/>
        </w:rPr>
        <w:t>. For so long as the Investor Member or its Affiliates hold any Units, the Company shall deliver, or cause to be delivered, to the Investor Member the following information, each prepared in accordance with GAAP or such other accounting basis reasonably acceptable to the Investor Member:</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within one hundred twenty (120) days after the end of each Fiscal Year commencing the year ending December 31, 2026, a consolidated balance sheet of the Company and its Subsidiaries as of the end of such Fiscal Year, and consolidated statements of income and cashflows of the Company and its Subsidiaries for such Fiscal Year, prepared in accordance with GAAP and audited by an independent certified public accounting firm of recognized national standing reasonably acceptable to the Investor Member; </w:t>
      </w:r>
      <w:r>
        <w:rPr>
          <w:rFonts w:ascii="Times New Roman" w:hAnsi="Times New Roman"/>
          <w:i/>
          <w:color w:val="000000"/>
          <w:sz w:val="24"/>
        </w:rPr>
        <w:t>provided</w:t>
      </w:r>
      <w:r>
        <w:rPr>
          <w:rFonts w:ascii="Times New Roman" w:hAnsi="Times New Roman"/>
          <w:color w:val="000000"/>
          <w:sz w:val="24"/>
        </w:rPr>
        <w:t xml:space="preserve"> that the initial audit period will cover the period from the Reference Date through December 31, 2026;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within sixty (60) days after the end of the first three (3) fiscal quarters of each Fiscal Year, a consolidated balance sheet of the Company and its Subsidiaries as of the end of such quarterly period, and consolidated statements of income, retained earnings and cashflows of the Company and its Subsidiaries for such quarterly period, to be prepared in accordance with GAAP (but subject to normal year-end audit adjustments and the absence of footnotes);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within twenty-five (25) days after the end of each month, a consolidated balance sheet of the Company and its Subsidiaries as of the end of such monthly period, and a Monthly Servicer Report for any securitizations for which the residual certificates are owned or held by the Company and its Subsidiaries for such monthly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within sixty (60) days after the end of each fiscal quarter, a detailed capitalization table of the Company reflecting all outstanding Securities (including the Series A/A1 Preferred Units, Series B/B1 Preferred Units and Common Units) and any securities convertible into or exercisable for such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within thirty (30) days after the filing of the relevant federal and material state and local income tax returns of the Company and each of its Subsidiaries, copies thereof together with supporting workpapers, and tax-basis fixed asset schedules;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within forty-five (45) days after the end of each fiscal quarter, third party reports (including valuation reports) concerning the Residual Interests of the Company, in form and substance reasonably satisfactory to the Investor Member; </w:t>
      </w:r>
      <w:r>
        <w:rPr>
          <w:rFonts w:ascii="Times New Roman" w:hAnsi="Times New Roman"/>
          <w:color w:val="000000"/>
          <w:sz w:val="24"/>
          <w:u w:val="single"/>
        </w:rPr>
        <w:t>provided</w:t>
      </w:r>
      <w:r>
        <w:rPr>
          <w:rFonts w:ascii="Times New Roman" w:hAnsi="Times New Roman"/>
          <w:color w:val="000000"/>
          <w:sz w:val="24"/>
        </w:rPr>
        <w:t xml:space="preserve">, that any such reports received by Vroom Parent for purposes of preparing its publicly filed financial statements shall de deemed to be satisfactory to the Investor Member;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within thirty (30) days following the end of each Fiscal Year, an IRS Form 1099-DIV (if the Company made a distribution in such year for U.S. federal income tax purposes and such form is required by Law to be prepared and/or filed);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 such additional financial or operating information, reports, or data concerning Vroom Parent, the Company and their respective Affiliates or their businesses and assets as the Investor Member may reasonably request from time to time, in order for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Investor Member to (i) comply with applicable disclosure Laws, (ii) satisfy rating agency inquiries, (iii) sell, syndicate, assign or transfer all or any portion of the Preferred Units (or Common Units issued upon conversion thereof), (iv) satisfy requests from potential investors or any other interested parties or purchasers, including any subordinate investor, (v) reasonably account for or monitor its investment in the Company and (vi) timely and properly comply with its (or its Affiliates’) tax reporting or compliance obligations.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12.05 </w:t>
      </w:r>
      <w:r>
        <w:rPr>
          <w:rFonts w:ascii="Times New Roman" w:hAnsi="Times New Roman"/>
          <w:b w:val="false"/>
          <w:color w:val="000000"/>
          <w:sz w:val="24"/>
          <w:u w:val="single"/>
        </w:rPr>
        <w:t>Further Assurances; Additional Documents.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The Company shall, and shall cause each of its Subsidiaries and Affiliates to, execute and deliver such additional agreements, instruments, certificates or other documents and to take such other actions as the Investor Member may reasonably request from time to time in connection with the issuance, ownership, administration, sale, transfer or disposition of the Preferred Units (or the Common Units issuable upon conversion thereof), or to evidence or effectuate any of the provisions of this Agreement or any related transaction document (including any Transaction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nothing in this </w:t>
      </w:r>
      <w:r>
        <w:rPr>
          <w:rFonts w:ascii="Times New Roman" w:hAnsi="Times New Roman"/>
          <w:color w:val="000000"/>
          <w:sz w:val="24"/>
          <w:u w:val="single"/>
        </w:rPr>
        <w:t>Section 12.05(a)</w:t>
      </w:r>
      <w:r>
        <w:rPr>
          <w:rFonts w:ascii="Times New Roman" w:hAnsi="Times New Roman"/>
          <w:color w:val="000000"/>
          <w:sz w:val="24"/>
        </w:rPr>
        <w:t xml:space="preserve"> shall require the Company to modify or agree to modify (i) the initial Distribution Rates, (ii) the Series B Mandatory Redemption Date or Series B1 Mandatory Redemption Date, (iii) the Preferred Accruing Distributions, (iv) any other material economic term in this Agreement, or (v) any time period during which the Company is required to perform its obligations under its organizational documents (including this Agreement).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Without limitation of the foregoing </w:t>
      </w:r>
      <w:r>
        <w:rPr>
          <w:rFonts w:ascii="Times New Roman" w:hAnsi="Times New Roman"/>
          <w:color w:val="000000"/>
          <w:sz w:val="24"/>
          <w:u w:val="single"/>
        </w:rPr>
        <w:t>Section 12.05(a)</w:t>
      </w:r>
      <w:r>
        <w:rPr>
          <w:rFonts w:ascii="Times New Roman" w:hAnsi="Times New Roman"/>
          <w:color w:val="000000"/>
          <w:sz w:val="24"/>
        </w:rPr>
        <w:t>, the Company shall, and shall cause each of its Subsidiaries to, reasonably cooperate with the Investor Member and any prospective transferee in connection with any sale, transfer, assignment, participation or other disposition of any Units, including by executing customary transfer instruments, making its management team available for presentations and diligence, providing requested financial and corporate information (subject to customary confidentiality protections), and delivering any legal opinions, certificates or other documents that are reasonably necessary to consummate such transaction.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Without limitation of the foregoing </w:t>
      </w:r>
      <w:r>
        <w:rPr>
          <w:rFonts w:ascii="Times New Roman" w:hAnsi="Times New Roman"/>
          <w:color w:val="000000"/>
          <w:sz w:val="24"/>
          <w:u w:val="single"/>
        </w:rPr>
        <w:t>Section 12.05(a)</w:t>
      </w:r>
      <w:r>
        <w:rPr>
          <w:rFonts w:ascii="Times New Roman" w:hAnsi="Times New Roman"/>
          <w:color w:val="000000"/>
          <w:sz w:val="24"/>
        </w:rPr>
        <w:t>, the Company shall, and shall cause each of its Subsidiaries to, reasonably cooperate with and support the Investor Member and its Affiliates (including by providing any information reasonably requested by the Investor Member and its Affiliates) to the extent reasonably required in connection with any (i) audit of the Investor Member and/or any such Affiliate, or (ii) other interaction between the Investor Member and/or its Affiliates and a taxing authority.</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12.06 </w:t>
      </w:r>
      <w:r>
        <w:rPr>
          <w:rFonts w:ascii="Times New Roman" w:hAnsi="Times New Roman"/>
          <w:b w:val="false"/>
          <w:color w:val="000000"/>
          <w:sz w:val="24"/>
          <w:u w:val="single"/>
        </w:rPr>
        <w:t>Permitted Asset Base</w:t>
      </w:r>
      <w:r>
        <w:rPr>
          <w:rFonts w:ascii="Times New Roman" w:hAnsi="Times New Roman"/>
          <w:b w:val="false"/>
          <w:color w:val="000000"/>
          <w:sz w:val="24"/>
        </w:rPr>
        <w:t xml:space="preserve">. The Company shall, at all times, ensure that its Permitted Asset Base is at least equal to the aggregate value of all Preferred Units issued by the Company (including the Series A/A1 Preferred Units and Series B/B1 Preferred Units). Illustrative examples of the calculation of the Permitted Asset Base are set forth on </w:t>
      </w:r>
      <w:r>
        <w:rPr>
          <w:rFonts w:ascii="Times New Roman" w:hAnsi="Times New Roman"/>
          <w:b w:val="false"/>
          <w:color w:val="000000"/>
          <w:sz w:val="24"/>
          <w:u w:val="single"/>
        </w:rPr>
        <w:t>EXHIBIT C</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12.07 </w:t>
      </w:r>
      <w:r>
        <w:rPr>
          <w:rFonts w:ascii="Times New Roman" w:hAnsi="Times New Roman"/>
          <w:b w:val="false"/>
          <w:color w:val="000000"/>
          <w:sz w:val="24"/>
          <w:u w:val="single"/>
        </w:rPr>
        <w:t>Excluded Assets and Liabilities.</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(a) The Company and the Members hereby acknowledge and agree that any Excluded Assets and Liabilities shall be and remain the sole property, responsibility, and risk of one or more Affiliates of the Company (but not the Company itself) (such Affiliates, the “</w:t>
      </w:r>
      <w:r>
        <w:rPr>
          <w:rFonts w:ascii="Times New Roman" w:hAnsi="Times New Roman"/>
          <w:b/>
          <w:color w:val="000000"/>
          <w:sz w:val="24"/>
          <w:u w:val="single"/>
        </w:rPr>
        <w:t>Excluded Assets and Liabilities Holders</w:t>
      </w:r>
      <w:r>
        <w:rPr>
          <w:rFonts w:ascii="Times New Roman" w:hAnsi="Times New Roman"/>
          <w:color w:val="000000"/>
          <w:sz w:val="24"/>
        </w:rPr>
        <w:t>”). The Company shall not have, and shall not be deemed to have, any right, title, interest, liability or obligation in or with respect to any Excluded Asset and Liability. All income, proceeds, recoveries and other benefits arising from, and all losses, damages, costs, expenses, liabilities and obligations incurred in respect of, any Excluded Asset and Liability shall be for the sole benefit or detriment of the Excluded Assets and Liabilities Holders, and the Company and Vroom Member shall take all actions reasonably necessary or desirable to effectuate such treatment, including executing such further instruments or agreements as the Investor Member may reasonably request to evidence or give effect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shall use commercially reasonable efforts to transfer, assign, convey, or otherwise divest any remaining Excluded Assets and Liabilities out of the Company to the Excluded Assets and Liabilities Holders as promptly as practicable following the date hereof, and shall execute and deliver, and cause its Subsidiaries to execute and deliver, all agreements, instruments and documents, and take all other actions, reasonably necessary or desirable to effect such transfer. Without limiting the foregoing, the Company shall use commercially reasonable efforts to ensure that each Excluded Assets and Liabilities Holder agrees in writing that only the applicable Excluded Assets and Liabilities Holder is responsible for any and all losses, damages, costs, expenses, detriments, liabilities and obligations related to or arising from the applicable Excluded Assets and Liabilities.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12.08 </w:t>
      </w:r>
      <w:r>
        <w:rPr>
          <w:rFonts w:ascii="Times New Roman" w:hAnsi="Times New Roman"/>
          <w:b w:val="false"/>
          <w:color w:val="000000"/>
          <w:sz w:val="24"/>
          <w:u w:val="single"/>
        </w:rPr>
        <w:t>Prohibited Persons.</w:t>
      </w:r>
    </w:p>
    <w:p>
      <w:pPr>
        <w:pStyle w:val="TextBody"/>
        <w:bidi w:val="0"/>
        <w:spacing w:before="0" w:after="240"/>
        <w:jc w:val="both"/>
        <w:rPr>
          <w:rFonts w:ascii="Times New Roman" w:hAnsi="Times New Roman"/>
          <w:sz w:val="24"/>
        </w:rPr>
      </w:pPr>
      <w:bookmarkStart w:id="12" w:name="o14_08_a_a"/>
      <w:bookmarkEnd w:id="12"/>
      <w:r>
        <w:rPr>
          <w:rFonts w:ascii="Times New Roman" w:hAnsi="Times New Roman"/>
          <w:color w:val="000000"/>
          <w:sz w:val="24"/>
        </w:rPr>
        <w:t xml:space="preserve">(a) Each of the Company and the Vroom Member shall, and shall cause their respective Subsidiaries and Affiliates to, (i) not conduct any business or engage in any transaction, agreement, arrangement or dealing with any Person (A) that is listed in the annex to, or is otherwise subject to the provisions of, [***], </w:t>
      </w:r>
      <w:bookmarkStart w:id="13" w:name="o14_08_a_b"/>
      <w:bookmarkEnd w:id="13"/>
      <w:r>
        <w:rPr>
          <w:rFonts w:ascii="Times New Roman" w:hAnsi="Times New Roman"/>
          <w:color w:val="000000"/>
          <w:sz w:val="24"/>
        </w:rPr>
        <w:t>(B) whose name appears on the Office of Foreign Assets Control of the U.S. Department of the Treasury’s, (“</w:t>
      </w:r>
      <w:r>
        <w:rPr>
          <w:rFonts w:ascii="Times New Roman" w:hAnsi="Times New Roman"/>
          <w:b/>
          <w:color w:val="000000"/>
          <w:sz w:val="24"/>
          <w:u w:val="single"/>
        </w:rPr>
        <w:t>OFAC</w:t>
      </w:r>
      <w:r>
        <w:rPr>
          <w:rFonts w:ascii="Times New Roman" w:hAnsi="Times New Roman"/>
          <w:color w:val="000000"/>
          <w:sz w:val="24"/>
        </w:rPr>
        <w:t xml:space="preserve">”), most current list of “Specifically Designed National and Blocked Persons,” (C) who commits, threatens to commit or supports “terrorism”, [***], or </w:t>
      </w:r>
      <w:bookmarkStart w:id="14" w:name="o14_08_a_d"/>
      <w:bookmarkEnd w:id="14"/>
      <w:r>
        <w:rPr>
          <w:rFonts w:ascii="Times New Roman" w:hAnsi="Times New Roman"/>
          <w:color w:val="000000"/>
          <w:sz w:val="24"/>
        </w:rPr>
        <w:t xml:space="preserve">(D) who is otherwise affiliated with any Person listed or referred to in the foregoing </w:t>
      </w:r>
      <w:r>
        <w:rPr>
          <w:rFonts w:ascii="Times New Roman" w:hAnsi="Times New Roman"/>
          <w:color w:val="000000"/>
          <w:sz w:val="24"/>
          <w:u w:val="single"/>
        </w:rPr>
        <w:t>clauses (A)</w:t>
      </w:r>
      <w:r>
        <w:rPr>
          <w:rFonts w:ascii="Times New Roman" w:hAnsi="Times New Roman"/>
          <w:color w:val="000000"/>
          <w:sz w:val="24"/>
        </w:rPr>
        <w:t xml:space="preserve"> and</w:t>
      </w:r>
      <w:r>
        <w:rPr>
          <w:rFonts w:ascii="Times New Roman" w:hAnsi="Times New Roman"/>
          <w:color w:val="000000"/>
          <w:sz w:val="24"/>
          <w:u w:val="single"/>
        </w:rPr>
        <w:t xml:space="preserve"> </w:t>
      </w:r>
      <w:r>
        <w:rPr>
          <w:rFonts w:ascii="Times New Roman" w:hAnsi="Times New Roman"/>
          <w:color w:val="000000"/>
          <w:sz w:val="24"/>
        </w:rPr>
        <w:t xml:space="preserve">(B) (any Person referred to in the foregoing </w:t>
      </w:r>
      <w:r>
        <w:rPr>
          <w:rFonts w:ascii="Times New Roman" w:hAnsi="Times New Roman"/>
          <w:color w:val="000000"/>
          <w:sz w:val="24"/>
          <w:u w:val="single"/>
        </w:rPr>
        <w:t xml:space="preserve">clauses </w:t>
      </w:r>
      <w:r>
        <w:rPr>
          <w:rFonts w:ascii="Times New Roman" w:hAnsi="Times New Roman"/>
          <w:color w:val="000000"/>
          <w:sz w:val="24"/>
        </w:rPr>
        <w:t xml:space="preserve">(A) through </w:t>
      </w:r>
      <w:r>
        <w:rPr>
          <w:rFonts w:ascii="Times New Roman" w:hAnsi="Times New Roman"/>
          <w:color w:val="000000"/>
          <w:sz w:val="24"/>
          <w:u w:val="single"/>
        </w:rPr>
        <w:t>(D)</w:t>
      </w:r>
      <w:r>
        <w:rPr>
          <w:rFonts w:ascii="Times New Roman" w:hAnsi="Times New Roman"/>
          <w:color w:val="000000"/>
          <w:sz w:val="24"/>
        </w:rPr>
        <w:t xml:space="preserve"> is referred to herein as a “</w:t>
      </w:r>
      <w:r>
        <w:rPr>
          <w:rFonts w:ascii="Times New Roman" w:hAnsi="Times New Roman"/>
          <w:b/>
          <w:color w:val="000000"/>
          <w:sz w:val="24"/>
          <w:u w:val="single"/>
        </w:rPr>
        <w:t>Prohibited Person</w:t>
      </w:r>
      <w:r>
        <w:rPr>
          <w:rFonts w:ascii="Times New Roman" w:hAnsi="Times New Roman"/>
          <w:color w:val="000000"/>
          <w:sz w:val="24"/>
        </w:rPr>
        <w:t>”), or (ii) engage in, or conspire to engage in, any transaction, agreement, arrangement or dealing that evades or avoids any of the prohibitions 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Upon request by the Investor Member, the Company shall deliver to the Investor Member (i) a certificate executed by an authorized officer of the Company, and/or (ii) any other evidence requested by the Investor Member in its sole and absolute discretion, in each case, confirming that (A) each of Vroom Parent and its Subsidiaries are not a Prohibited Person, and (B) each of Vroom Parent and its Subsidiaries have not engaged in any transaction, agreement, arrangement or dealing with any Prohibited Person.</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12.09 </w:t>
      </w:r>
      <w:r>
        <w:rPr>
          <w:rFonts w:ascii="Times New Roman" w:hAnsi="Times New Roman"/>
          <w:b w:val="false"/>
          <w:color w:val="000000"/>
          <w:sz w:val="24"/>
          <w:u w:val="single"/>
        </w:rPr>
        <w:t>Listed Transactions</w:t>
      </w:r>
      <w:r>
        <w:rPr>
          <w:rFonts w:ascii="Times New Roman" w:hAnsi="Times New Roman"/>
          <w:b w:val="false"/>
          <w:color w:val="000000"/>
          <w:sz w:val="24"/>
        </w:rPr>
        <w:t>. Each of the Company and the Vroom Member shall, and shall cause their respective Subsidiaries to, use commercially reasonable efforts to cause the Company and its Subsidiaries not to engage, directly or indirectly, in any transaction that is a “listed transaction” within the meaning of Section 1.6011-4(b)(2) of the Regulations, or any similar provision of state, local or non-U.S. law.</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12.10 </w:t>
      </w:r>
      <w:r>
        <w:rPr>
          <w:rFonts w:ascii="Times New Roman" w:hAnsi="Times New Roman"/>
          <w:b w:val="false"/>
          <w:color w:val="000000"/>
          <w:sz w:val="24"/>
          <w:u w:val="single"/>
        </w:rPr>
        <w:t>Agreements by Vroom Parent.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Vroom Parent hereby acknowledges and agrees that it shall (i) comply with, perform and observe each obligation, covenant, and undertaking of the Company and the Vroom Member under this Agreement as if Vroom Parent were the Company and/or the Vroom Member, as applicable and (ii) cause (and cause its Affiliates to cause, as applicable) the Company and the Vroom Member to comply with, perform and observe all obligations, covenants and undertakings of the Company and the Vroom Member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Vroom Parent hereby agrees to indemnify and hold harmless (i) the Investor Member and its Affiliates and its and their directors, officers, managers, members, stockholders or other equityholders, from and against any and all loss, damage or liability (including reasonable attorneys’ fees) due to or arising out of any breach of this Agreement (including any representation, warranty or covenant) by Vroom Parent, the Vroom Member and/or the Company, and/or (ii) (A) the Company and (B) the Investor Member and its Affiliates and its and their directors, officers, managers, members, stockholders or other equityholders, in each case, from and against any and all loss, damage or liability (including reasonable attorneys’ fees) due to or arising out of the Excluded Assets and Liabilities.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Vroom Parent shall prepare and file, or cause to be prepared and filed, with its timely filed U.S. federal income tax return (including extensions) for the taxable year that includes the Effective Date, a statement pursuant to Regulations Section 1.1502-36(d), in such form and manner as required under applicable Regulations;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such statement (i) may include an election pursuant to Regulations Section 1.1502-36(d)(6) if and to the extent determined by Vroom Parent and consistent with Section 2.17(c) of the Purchase Agreement, (ii) must be reasonably acceptable to the Investor Member and (iii) provides that the Company NOLs retained by the Company shall be attributable to the most recent applicable taxable year(s) of the Company.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Each of the Company, the Vroom Member and Vroom Parent hereby agree that it will not, and will cause its Subsidiaries not to, terminate, amend, modify, supplement, waive or assign (in whole or in part) any Transaction Agreement to which the Investor Member is not a party without the prior written consent of the Investor Member (which shall include, for the avoidance of doubt, any amendments, modifications or supplements to Schedule A of the Loan and Security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the prior written consent of the Investor Member shall not be required for any (i) termination of the CarStory License Agreement pursuant to Section 5.2 thereof, (ii) assignment of the CarStory License Agreement to any Person (other than a Restricted Assignee (as defined in the CarStory License Agreement)) pursuant to Section 7.8(b) thereof, or (iii) assignment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Assigned Intellectual Property to any Person other than the Company or its Subsidiaries.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12.11 </w:t>
      </w:r>
      <w:r>
        <w:rPr>
          <w:rFonts w:ascii="Times New Roman" w:hAnsi="Times New Roman"/>
          <w:b w:val="false"/>
          <w:color w:val="000000"/>
          <w:sz w:val="24"/>
          <w:u w:val="single"/>
        </w:rPr>
        <w:t>Employee Matters.</w:t>
      </w:r>
    </w:p>
    <w:p>
      <w:pPr>
        <w:pStyle w:val="TextBody"/>
        <w:bidi w:val="0"/>
        <w:spacing w:before="0" w:after="240"/>
        <w:jc w:val="both"/>
        <w:rPr>
          <w:rFonts w:ascii="Times New Roman" w:hAnsi="Times New Roman"/>
          <w:sz w:val="24"/>
        </w:rPr>
      </w:pPr>
      <w:r>
        <w:rPr>
          <w:rFonts w:ascii="Times New Roman" w:hAnsi="Times New Roman"/>
          <w:color w:val="000000"/>
          <w:sz w:val="24"/>
        </w:rPr>
        <w:t>(a) The Company, the Vroom Member and Vroom Parent have taken all actions necessary to transfer and/or assign the employment of each individual employed by the Company (each, a “</w:t>
      </w:r>
      <w:r>
        <w:rPr>
          <w:rFonts w:ascii="Times New Roman" w:hAnsi="Times New Roman"/>
          <w:b/>
          <w:color w:val="000000"/>
          <w:sz w:val="24"/>
          <w:u w:val="single"/>
        </w:rPr>
        <w:t>Transferred Employee</w:t>
      </w:r>
      <w:r>
        <w:rPr>
          <w:rFonts w:ascii="Times New Roman" w:hAnsi="Times New Roman"/>
          <w:color w:val="000000"/>
          <w:sz w:val="24"/>
        </w:rPr>
        <w:t>”) to an Affiliate of Vroom Parent (other than the Company) by the Reference Date. On and from the Reference Date, the Company shall have no employees.</w:t>
      </w:r>
    </w:p>
    <w:p>
      <w:pPr>
        <w:pStyle w:val="TextBody"/>
        <w:bidi w:val="0"/>
        <w:spacing w:before="0" w:after="240"/>
        <w:jc w:val="both"/>
        <w:rPr>
          <w:rFonts w:ascii="Times New Roman" w:hAnsi="Times New Roman"/>
          <w:sz w:val="24"/>
        </w:rPr>
      </w:pPr>
      <w:r>
        <w:rPr>
          <w:rFonts w:ascii="Times New Roman" w:hAnsi="Times New Roman"/>
          <w:color w:val="000000"/>
          <w:sz w:val="24"/>
        </w:rPr>
        <w:t>(b) No later than the twelve (12)-month anniversary of the Reference Date, the Company shall use commercially reasonable efforts to obtain an acknowledgement from each Transferred Employee (each, an “</w:t>
      </w:r>
      <w:r>
        <w:rPr>
          <w:rFonts w:ascii="Times New Roman" w:hAnsi="Times New Roman"/>
          <w:b/>
          <w:color w:val="000000"/>
          <w:sz w:val="24"/>
          <w:u w:val="single"/>
        </w:rPr>
        <w:t>Employee Acknowledgement</w:t>
      </w:r>
      <w:r>
        <w:rPr>
          <w:rFonts w:ascii="Times New Roman" w:hAnsi="Times New Roman"/>
          <w:color w:val="000000"/>
          <w:sz w:val="24"/>
        </w:rPr>
        <w:t>”), which shall include an acknowledgement from such Transferred Employee that, effective as of the Reference Date, any and all liabilities and obligations related to such Transferred Employee’s employment (including salary, benefits, bonuses, and any other forms of compensation) on or after the Reference Date, are the sole responsibility of Vroom Parent or its Affiliates (other than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By the Reference Date, the Company has taken all actions necessary to terminate, withdraw from, or transfer the sponsorship to an Affiliate of Vroom Parent (other than the Company) of, as applicable, each benefit or compensation plan, program, policy or arrangement maintained, sponsored, contributed to (or obligated to be contributed to) or entered into by Company. On and from the Reference Date, the Company shall not maintain, sponsor, contribute to (or be obligated to contribute to), or be a party to any benefit or compensation plan, program, policy or arrangement, without the prior written consent of the Investor Member.</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12.12 </w:t>
      </w:r>
      <w:r>
        <w:rPr>
          <w:rFonts w:ascii="Times New Roman" w:hAnsi="Times New Roman"/>
          <w:b w:val="false"/>
          <w:color w:val="000000"/>
          <w:sz w:val="24"/>
          <w:u w:val="single"/>
        </w:rPr>
        <w:t>Investment Company</w:t>
      </w:r>
      <w:r>
        <w:rPr>
          <w:rFonts w:ascii="Times New Roman" w:hAnsi="Times New Roman"/>
          <w:b w:val="false"/>
          <w:color w:val="000000"/>
          <w:sz w:val="24"/>
        </w:rPr>
        <w:t>. The Company hereby acknowledges and agrees that (a) it is not required to be registered as an “investment company” within the meaning of the Investment Company Act, and (b) it is not solely relying on the exemptions from registration set forth in Section 3(c)(1) or Section 3(c)(7) of the Investment Company Act.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12.13 </w:t>
      </w:r>
      <w:r>
        <w:rPr>
          <w:rFonts w:ascii="Times New Roman" w:hAnsi="Times New Roman"/>
          <w:b w:val="false"/>
          <w:color w:val="000000"/>
          <w:sz w:val="24"/>
          <w:u w:val="single"/>
        </w:rPr>
        <w:t>Mandatory Exercise of Loan and Security Agreement Remedies</w:t>
      </w:r>
      <w:r>
        <w:rPr>
          <w:rFonts w:ascii="Times New Roman" w:hAnsi="Times New Roman"/>
          <w:b w:val="false"/>
          <w:color w:val="000000"/>
          <w:sz w:val="24"/>
        </w:rPr>
        <w:t xml:space="preserve">. Upon the occurrence of any Loan and Security Agreement Event of Default, the Company shall (a) terminate the Commitment Amount pursuant to Section 7.1(c) of the Loan and Security Agreement, (b) declare all Aggregate Unpaids and any other amounts owed by the Borrower under the Loan and Security Agreement to be immediately due and payable, and (c) start to take appropriate remedial actions under Section 7.2 of the Loan and Security Agreement, and such other rights and remedies otherwise available to the Company, whether under the Loan and Security Agreement, at law, in equity or otherwise, unless the Investor Member has provided its written consent authorizing the Company not to take the actions required by the foregoing clauses (a) through (c). The Company shall provide the Investor Member with written notice of any Loan and Security Agreement Event of Default within five (5) Business Days thereof. Any capitalized terms used in this </w:t>
      </w:r>
      <w:r>
        <w:rPr>
          <w:rFonts w:ascii="Times New Roman" w:hAnsi="Times New Roman"/>
          <w:b w:val="false"/>
          <w:color w:val="000000"/>
          <w:sz w:val="24"/>
          <w:u w:val="single"/>
        </w:rPr>
        <w:t>Section 12.13</w:t>
      </w:r>
      <w:r>
        <w:rPr>
          <w:rFonts w:ascii="Times New Roman" w:hAnsi="Times New Roman"/>
          <w:color w:val="000000"/>
          <w:sz w:val="24"/>
        </w:rPr>
        <w:t xml:space="preserve"> </w:t>
      </w:r>
      <w:r>
        <w:rPr>
          <w:rFonts w:ascii="Times New Roman" w:hAnsi="Times New Roman"/>
          <w:b w:val="false"/>
          <w:color w:val="000000"/>
          <w:sz w:val="24"/>
        </w:rPr>
        <w:t>but not otherwise defined in this Agreement shall have the meaning given to such terms in the Loan and Security Agreement.</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12.14 </w:t>
      </w:r>
      <w:r>
        <w:rPr>
          <w:rFonts w:ascii="Times New Roman" w:hAnsi="Times New Roman"/>
          <w:b w:val="false"/>
          <w:color w:val="000000"/>
          <w:sz w:val="24"/>
          <w:u w:val="single"/>
        </w:rPr>
        <w:t>Concerning the Trustee</w:t>
      </w:r>
      <w:r>
        <w:rPr>
          <w:rFonts w:ascii="Times New Roman" w:hAnsi="Times New Roman"/>
          <w:b w:val="false"/>
          <w:color w:val="000000"/>
          <w:sz w:val="24"/>
        </w:rPr>
        <w:t>. It is expressly understood and agreed by the Company, the Vroom Member and Vroom Parent that (a) this Agreement is executed and delivered on behalf of the Investor Member by UMB Bank, N.A., not individually or personally but solely in its capacity as trustee on behalf of the Investor Member, in the exercise of the powers and authority conferred and vested in it under the trust agreement governing the Investor Member, (b) each of the representations, undertakings and agreements herein made on the part of the Investor Member is made and intended not as personal representations, undertakings and agreements by UMB Bank, N.A., but is made and intended for the purpose of binding only, and is binding only on, the Investor Member, (c) nothing herein contained shall be construed as creating any liability on UMB Bank, N.A., individually or personally, to perform any covenant either expressed or implied contained herein, all such liability, if any, being expressly waived by the parties hereto and by any Person claiming by, through or under the parties hereto, (d) UMB Bank, N.A. has made no investigation as to the accuracy or completeness of any representations or warranties made by the Investor Member in this Agreement, and (e) under no circumstances shall UMB Bank, N.A. be personally liable for the payment of any indebtedness, indemnities or expenses (including any arbitration or enforcement related expenses) of the Investor Member or be liable for the performance, breach or failure of any obligation, representation, warranty or covenant made or undertaken by the Investor Member under this Agreement or any other related documents as to all of which recourse shall be had solely to the assets of the Investor Member.</w:t>
      </w:r>
      <w:r>
        <w:rPr>
          <w:rFonts w:ascii="Times New Roman" w:hAnsi="Times New Roman"/>
          <w:color w:val="000000"/>
          <w:sz w:val="24"/>
        </w:rPr>
        <w:t xml:space="preserve"> </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13</w:t>
      </w:r>
      <w:r>
        <w:rPr>
          <w:rFonts w:ascii="Times New Roman" w:hAnsi="Times New Roman"/>
          <w:caps/>
          <w:color w:val="000000"/>
          <w:sz w:val="24"/>
          <w:u w:val="single"/>
        </w:rPr>
        <w:br/>
        <w:t>GENERAL PROVISIONS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13.01 </w:t>
      </w:r>
      <w:r>
        <w:rPr>
          <w:rFonts w:ascii="Times New Roman" w:hAnsi="Times New Roman"/>
          <w:b w:val="false"/>
          <w:color w:val="000000"/>
          <w:sz w:val="24"/>
          <w:u w:val="single"/>
        </w:rPr>
        <w:t>Governing Law</w:t>
      </w:r>
      <w:r>
        <w:rPr>
          <w:rFonts w:ascii="Times New Roman" w:hAnsi="Times New Roman"/>
          <w:b w:val="false"/>
          <w:color w:val="000000"/>
          <w:sz w:val="24"/>
        </w:rPr>
        <w:t>. THIS AGREEMENT, THE RIGHTS AND OBLIGATIONS OF THE PARTIES UNDER THIS AGREEMENT OR THE RELEVANT AGREEMENTS AND DOCUMENTS, AND ANY CLAIM OR CONTROVERSY DIRECTLY OR INDIRECTLY BASED UPON OR ARISING OUT OF THIS AGREEMENT OR THE RELEVANT AGREEMENTS AND DOCUMENTS (WHETHER BASED UPON CONTRACT, TORT OR ANY OTHER THEORY), INCLUDING (I) ITS NEGOTIATION, EXECUTION, CONSTRUCTION, VALIDITY, INTERPRETATION, PERFORMANCE AND ENFORCEMENT AND (II) THE RIGHTS AND DUTIES OF THE PARTIES IN WHOLE OR IN PART, SHALL BE GOVERNED BY AND CONSTRUED IN ACCORDANCE WITH THE INTERNAL LAWS OF THE STATE OF DELAWARE, WITHOUT REGARD TO ANY CONFLICT OF LAWS PROVISION THAT WOULD REQUIRE THE APPLICATION OF THE LAW OF ANY OTHER JURISDICTION.</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13.02 </w:t>
      </w:r>
      <w:r>
        <w:rPr>
          <w:rFonts w:ascii="Times New Roman" w:hAnsi="Times New Roman"/>
          <w:b w:val="false"/>
          <w:color w:val="000000"/>
          <w:sz w:val="24"/>
          <w:u w:val="single"/>
        </w:rPr>
        <w:t>Counterparts</w:t>
      </w:r>
      <w:r>
        <w:rPr>
          <w:rFonts w:ascii="Times New Roman" w:hAnsi="Times New Roman"/>
          <w:b w:val="false"/>
          <w:color w:val="000000"/>
          <w:sz w:val="24"/>
        </w:rPr>
        <w:t>. This Agreement may be executed in counterparts (including by facsimile, .pdf or other electronic transmission), each one of which shall be deemed an original and all of which together shall constitute one and the same Agreement. The signatures of all the parties hereto need not appear on the same counterpart.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13.03 </w:t>
      </w:r>
      <w:r>
        <w:rPr>
          <w:rFonts w:ascii="Times New Roman" w:hAnsi="Times New Roman"/>
          <w:b w:val="false"/>
          <w:color w:val="000000"/>
          <w:sz w:val="24"/>
          <w:u w:val="single"/>
        </w:rPr>
        <w:t>Construction; Headings</w:t>
      </w:r>
      <w:r>
        <w:rPr>
          <w:rFonts w:ascii="Times New Roman" w:hAnsi="Times New Roman"/>
          <w:b w:val="false"/>
          <w:color w:val="000000"/>
          <w:sz w:val="24"/>
        </w:rPr>
        <w:t>. Whenever the feminine, masculine, neuter, singular or plural shall be used in this Agreement, such construction shall be given to such words or phrases as shall impart to this Agreement a construction consistent with the interest of the Members entering into this Agreement. Where used herein, the term “federal” shall refer to the U.S. Federal government. As used herein, (a) “or” shall mean “and/or” and (b) “including” or “include” shall mean “including without limitation.” The headings and captions herein are inserted</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for convenience of reference only and are not intended to govern, limit or aid in the construction of any term or provision hereof.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it being understood that the parties to this Agreement are sophisticated and have had adequate opportunity and means to retain counsel to represent their interests and to otherwise negotiate the provisions of this Agreement. When calculating the period of time before which, within which or following which any act is to be done or step taken pursuant to this Agreement, the date that is the reference date in calculating such period is excluded; if the last day of such period is a non-business day, the period in question ends on the next succeeding business day.</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13.04 </w:t>
      </w:r>
      <w:r>
        <w:rPr>
          <w:rFonts w:ascii="Times New Roman" w:hAnsi="Times New Roman"/>
          <w:b w:val="false"/>
          <w:color w:val="000000"/>
          <w:sz w:val="24"/>
          <w:u w:val="single"/>
        </w:rPr>
        <w:t>Severability</w:t>
      </w:r>
      <w:r>
        <w:rPr>
          <w:rFonts w:ascii="Times New Roman" w:hAnsi="Times New Roman"/>
          <w:b w:val="false"/>
          <w:color w:val="000000"/>
          <w:sz w:val="24"/>
        </w:rPr>
        <w:t>. If any term or provision of this Agreement or the application thereof to any Person or circumstances shall be held invalid or unenforceable, the remaining terms and provisions hereof and the application of such term or provision to Persons or circumstances other than those to which it is held invalid or unenforceable shall not be affected thereby.</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13.05 </w:t>
      </w:r>
      <w:r>
        <w:rPr>
          <w:rFonts w:ascii="Times New Roman" w:hAnsi="Times New Roman"/>
          <w:b w:val="false"/>
          <w:color w:val="000000"/>
          <w:sz w:val="24"/>
          <w:u w:val="single"/>
        </w:rPr>
        <w:t>Relations with Members</w:t>
      </w:r>
      <w:r>
        <w:rPr>
          <w:rFonts w:ascii="Times New Roman" w:hAnsi="Times New Roman"/>
          <w:b w:val="false"/>
          <w:color w:val="000000"/>
          <w:sz w:val="24"/>
        </w:rPr>
        <w:t xml:space="preserve">. Unless named in this Agreement as a Member, or unless admitted to the Company as a Substituted Member or an Additional Member as provided in this Agreement, no Person shall be considered a Member. Subject to </w:t>
      </w:r>
      <w:r>
        <w:rPr>
          <w:rFonts w:ascii="Times New Roman" w:hAnsi="Times New Roman"/>
          <w:b w:val="false"/>
          <w:color w:val="000000"/>
          <w:sz w:val="24"/>
          <w:u w:val="single"/>
        </w:rPr>
        <w:t>Article 7</w:t>
      </w:r>
      <w:r>
        <w:rPr>
          <w:rFonts w:ascii="Times New Roman" w:hAnsi="Times New Roman"/>
          <w:b w:val="false"/>
          <w:color w:val="000000"/>
          <w:sz w:val="24"/>
        </w:rPr>
        <w:t>, the Company and the Board of Managers need deal only with Persons so named or admitted as Members.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13.06 </w:t>
      </w:r>
      <w:r>
        <w:rPr>
          <w:rFonts w:ascii="Times New Roman" w:hAnsi="Times New Roman"/>
          <w:b w:val="false"/>
          <w:color w:val="000000"/>
          <w:sz w:val="24"/>
          <w:u w:val="single"/>
        </w:rPr>
        <w:t>Waiver of Action for Partition</w:t>
      </w:r>
      <w:r>
        <w:rPr>
          <w:rFonts w:ascii="Times New Roman" w:hAnsi="Times New Roman"/>
          <w:b w:val="false"/>
          <w:color w:val="000000"/>
          <w:sz w:val="24"/>
        </w:rPr>
        <w:t>. Each of the Members irrevocably waives during the term of the Company any right that such Member may have to maintain an action for partition with respect to any property of the Company.</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13.07 </w:t>
      </w:r>
      <w:r>
        <w:rPr>
          <w:rFonts w:ascii="Times New Roman" w:hAnsi="Times New Roman"/>
          <w:b w:val="false"/>
          <w:color w:val="000000"/>
          <w:sz w:val="24"/>
          <w:u w:val="single"/>
        </w:rPr>
        <w:t>Successors and Assigns</w:t>
      </w:r>
      <w:r>
        <w:rPr>
          <w:rFonts w:ascii="Times New Roman" w:hAnsi="Times New Roman"/>
          <w:b w:val="false"/>
          <w:color w:val="000000"/>
          <w:sz w:val="24"/>
        </w:rPr>
        <w:t xml:space="preserve">. All of the terms and provisions of this Agreement shall inure to the benefit of and be binding upon each of the parties hereto and their respective permitted transferees; provided, that (a) the Investor Member may assign any of its right, interests or obligations hereunder without the prior written consent of any other Person, (b) no other Person (including the Vroom Member and the Company) may assign any of its rights, interest or obligations hereunder without the prior written consent of the Investor Member, and (c) no Transfer of the Units of any Member shall be made except in accordance with the provisions of </w:t>
      </w:r>
      <w:r>
        <w:rPr>
          <w:rFonts w:ascii="Times New Roman" w:hAnsi="Times New Roman"/>
          <w:b w:val="false"/>
          <w:color w:val="000000"/>
          <w:sz w:val="24"/>
          <w:u w:val="single"/>
        </w:rPr>
        <w:t>Article 7</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13.08 </w:t>
      </w:r>
      <w:r>
        <w:rPr>
          <w:rFonts w:ascii="Times New Roman" w:hAnsi="Times New Roman"/>
          <w:b w:val="false"/>
          <w:color w:val="000000"/>
          <w:sz w:val="24"/>
          <w:u w:val="single"/>
        </w:rPr>
        <w:t>Entire Agreement</w:t>
      </w:r>
      <w:r>
        <w:rPr>
          <w:rFonts w:ascii="Times New Roman" w:hAnsi="Times New Roman"/>
          <w:b w:val="false"/>
          <w:color w:val="000000"/>
          <w:sz w:val="24"/>
        </w:rPr>
        <w:t>. This Agreement and any agreements entered into in connection with this Agreement (including any Transaction Agreement) and any exhibits, schedules and other documents referred to herein (the “</w:t>
      </w:r>
      <w:r>
        <w:rPr>
          <w:rFonts w:ascii="Times New Roman" w:hAnsi="Times New Roman"/>
          <w:color w:val="000000"/>
          <w:sz w:val="24"/>
          <w:u w:val="single"/>
        </w:rPr>
        <w:t>Relevant Agreements and Documents</w:t>
      </w:r>
      <w:r>
        <w:rPr>
          <w:rFonts w:ascii="Times New Roman" w:hAnsi="Times New Roman"/>
          <w:color w:val="000000"/>
          <w:sz w:val="24"/>
        </w:rPr>
        <w:t>”</w:t>
      </w:r>
      <w:r>
        <w:rPr>
          <w:rFonts w:ascii="Times New Roman" w:hAnsi="Times New Roman"/>
          <w:b w:val="false"/>
          <w:color w:val="000000"/>
          <w:sz w:val="24"/>
        </w:rPr>
        <w:t>) constitute the final agreement between the parties hereto and are the complete and exclusive expression of agreement of the parties hereto with respect to the subject matter hereof and thereof. All prior and extemporaneous negotiations, communications, arrangements, letters, term sheets and agreements between the parties hereto on the subject matters contained in this Agreement and the Relevant Agreements and Documents, whether written or oral, are expressly merged into and superseded by this Agreement and the Relevant Agreements and Documents. The provisions of this Agreement and the Relevant Agreements and Documents may not be explained, supplemented or qualified through evidence of trade usage or a prior course of dealing. There are no conditions precedent to the effectiveness of this Agreement.</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13.09 </w:t>
      </w:r>
      <w:r>
        <w:rPr>
          <w:rFonts w:ascii="Times New Roman" w:hAnsi="Times New Roman"/>
          <w:b w:val="false"/>
          <w:color w:val="000000"/>
          <w:sz w:val="24"/>
          <w:u w:val="single"/>
        </w:rPr>
        <w:t>No Third Party Beneficiaries</w:t>
      </w:r>
      <w:r>
        <w:rPr>
          <w:rFonts w:ascii="Times New Roman" w:hAnsi="Times New Roman"/>
          <w:b w:val="false"/>
          <w:color w:val="000000"/>
          <w:sz w:val="24"/>
        </w:rPr>
        <w:t xml:space="preserve">. It is understood and agreed among the parties that this Agreement and the covenants made herein are made expressly and solely for the benefit of the parties hereto, and that no other Person, other than an Indemnified Party pursuant to </w:t>
      </w:r>
      <w:r>
        <w:rPr>
          <w:rFonts w:ascii="Times New Roman" w:hAnsi="Times New Roman"/>
          <w:b w:val="false"/>
          <w:color w:val="000000"/>
          <w:sz w:val="24"/>
          <w:u w:val="single"/>
        </w:rPr>
        <w:t>Section 4.05</w:t>
      </w:r>
      <w:r>
        <w:rPr>
          <w:rFonts w:ascii="Times New Roman" w:hAnsi="Times New Roman"/>
          <w:b w:val="false"/>
          <w:color w:val="000000"/>
          <w:sz w:val="24"/>
        </w:rPr>
        <w:t xml:space="preserve">, </w:t>
      </w:r>
      <w:r>
        <w:rPr>
          <w:rFonts w:ascii="Times New Roman" w:hAnsi="Times New Roman"/>
          <w:b w:val="false"/>
          <w:color w:val="000000"/>
          <w:sz w:val="24"/>
          <w:u w:val="single"/>
        </w:rPr>
        <w:t>Section 4.04</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4.07</w:t>
      </w:r>
      <w:r>
        <w:rPr>
          <w:rFonts w:ascii="Times New Roman" w:hAnsi="Times New Roman"/>
          <w:color w:val="000000"/>
          <w:sz w:val="24"/>
        </w:rPr>
        <w:t xml:space="preserve"> </w:t>
      </w:r>
      <w:r>
        <w:rPr>
          <w:rFonts w:ascii="Times New Roman" w:hAnsi="Times New Roman"/>
          <w:b w:val="false"/>
          <w:color w:val="000000"/>
          <w:sz w:val="24"/>
        </w:rPr>
        <w:t xml:space="preserve">and non-parties pursuant to </w:t>
      </w:r>
      <w:r>
        <w:rPr>
          <w:rFonts w:ascii="Times New Roman" w:hAnsi="Times New Roman"/>
          <w:b w:val="false"/>
          <w:color w:val="000000"/>
          <w:sz w:val="24"/>
          <w:u w:val="single"/>
        </w:rPr>
        <w:t>Section 13.16</w:t>
      </w:r>
      <w:r>
        <w:rPr>
          <w:rFonts w:ascii="Times New Roman" w:hAnsi="Times New Roman"/>
          <w:b w:val="false"/>
          <w:color w:val="000000"/>
          <w:sz w:val="24"/>
        </w:rPr>
        <w:t>, shall be entitled or be deemed to be entitled to any benefits or rights hereunder, nor be authorized or entitled to enforce any rights, claims or remedies hereunder or by reason hereof.</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13.10 </w:t>
      </w:r>
      <w:r>
        <w:rPr>
          <w:rFonts w:ascii="Times New Roman" w:hAnsi="Times New Roman"/>
          <w:b w:val="false"/>
          <w:color w:val="000000"/>
          <w:sz w:val="24"/>
          <w:u w:val="single"/>
        </w:rPr>
        <w:t>Other Instruments and Acts</w:t>
      </w:r>
      <w:r>
        <w:rPr>
          <w:rFonts w:ascii="Times New Roman" w:hAnsi="Times New Roman"/>
          <w:b w:val="false"/>
          <w:color w:val="000000"/>
          <w:sz w:val="24"/>
        </w:rPr>
        <w:t>. The Members agree to execute any other instruments or perform any other acts that are or may be necessary to effectuate and carry on the Company created by this Agreement.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13.11 </w:t>
      </w:r>
      <w:r>
        <w:rPr>
          <w:rFonts w:ascii="Times New Roman" w:hAnsi="Times New Roman"/>
          <w:b w:val="false"/>
          <w:color w:val="000000"/>
          <w:sz w:val="24"/>
          <w:u w:val="single"/>
        </w:rPr>
        <w:t>Remedies and Waivers</w:t>
      </w:r>
      <w:r>
        <w:rPr>
          <w:rFonts w:ascii="Times New Roman" w:hAnsi="Times New Roman"/>
          <w:b w:val="false"/>
          <w:color w:val="000000"/>
          <w:sz w:val="24"/>
        </w:rPr>
        <w:t>. No delay or omission on the part of any party to this Agreement in exercising any right, power or remedy provided by Law or provided hereunder shall impair such right, power or remedy or operate as a waiver thereof. The single or partial exercise of any right, power or remedy provided by Law or provided hereunder shall not preclude any other or further exercise of any other right, power or remedy. The rights, powers and remedies provided hereunder are cumulative and are not exclusive of any rights, powers and remedies provided by Law. No course of dealing or course of conduct between or among any Persons having any interest in this Agreement will be deemed effective to modify, amend or supplement any part of this Agreement or any rights or obligations of any Person under or by reason of this Agreement.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13.12 </w:t>
      </w:r>
      <w:r>
        <w:rPr>
          <w:rFonts w:ascii="Times New Roman" w:hAnsi="Times New Roman"/>
          <w:b w:val="false"/>
          <w:color w:val="000000"/>
          <w:sz w:val="24"/>
          <w:u w:val="single"/>
        </w:rPr>
        <w:t>Public Announcements</w:t>
      </w:r>
      <w:r>
        <w:rPr>
          <w:rFonts w:ascii="Times New Roman" w:hAnsi="Times New Roman"/>
          <w:b w:val="false"/>
          <w:color w:val="000000"/>
          <w:sz w:val="24"/>
        </w:rPr>
        <w:t xml:space="preserve">. No Member will issue any public announcements or disseminate any advertising or marketing material concerning the existence or terms of this Agreement without the prior written approval of all of the other Members, except to the extent such announcement is required by Law. If a public announcement is required by Law, the Members will consult with each other before making the public announcement. To the extent any announcement or any advertising or marketing material permitted under this </w:t>
      </w:r>
      <w:r>
        <w:rPr>
          <w:rFonts w:ascii="Times New Roman" w:hAnsi="Times New Roman"/>
          <w:b w:val="false"/>
          <w:color w:val="000000"/>
          <w:sz w:val="24"/>
          <w:u w:val="single"/>
        </w:rPr>
        <w:t>Section 13.12</w:t>
      </w:r>
      <w:r>
        <w:rPr>
          <w:rFonts w:ascii="Times New Roman" w:hAnsi="Times New Roman"/>
          <w:color w:val="000000"/>
          <w:sz w:val="24"/>
        </w:rPr>
        <w:t xml:space="preserve"> </w:t>
      </w:r>
      <w:r>
        <w:rPr>
          <w:rFonts w:ascii="Times New Roman" w:hAnsi="Times New Roman"/>
          <w:b w:val="false"/>
          <w:color w:val="000000"/>
          <w:sz w:val="24"/>
        </w:rPr>
        <w:t xml:space="preserve">expressly refers to any Member or their Affiliates, such Member shall, in its sole discretion, have the right to revise such announcement or advertising or marketing material prior to granting such written approval. Notwithstanding anything to the contrary, this </w:t>
      </w:r>
      <w:r>
        <w:rPr>
          <w:rFonts w:ascii="Times New Roman" w:hAnsi="Times New Roman"/>
          <w:b w:val="false"/>
          <w:color w:val="000000"/>
          <w:sz w:val="24"/>
          <w:u w:val="single"/>
        </w:rPr>
        <w:t>Section 13.12</w:t>
      </w:r>
      <w:r>
        <w:rPr>
          <w:rFonts w:ascii="Times New Roman" w:hAnsi="Times New Roman"/>
          <w:color w:val="000000"/>
          <w:sz w:val="24"/>
        </w:rPr>
        <w:t xml:space="preserve"> </w:t>
      </w:r>
      <w:r>
        <w:rPr>
          <w:rFonts w:ascii="Times New Roman" w:hAnsi="Times New Roman"/>
          <w:b w:val="false"/>
          <w:color w:val="000000"/>
          <w:sz w:val="24"/>
        </w:rPr>
        <w:t>shall not prevent any Member from communicating with limited partners or prospective limited partners or investors of such Member or its Affiliates in connection with reporting requirements.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13.13 </w:t>
      </w:r>
      <w:r>
        <w:rPr>
          <w:rFonts w:ascii="Times New Roman" w:hAnsi="Times New Roman"/>
          <w:b w:val="false"/>
          <w:color w:val="000000"/>
          <w:sz w:val="24"/>
          <w:u w:val="single"/>
        </w:rPr>
        <w:t>Competitive Activities</w:t>
      </w:r>
      <w:r>
        <w:rPr>
          <w:rFonts w:ascii="Times New Roman" w:hAnsi="Times New Roman"/>
          <w:b w:val="false"/>
          <w:color w:val="000000"/>
          <w:sz w:val="24"/>
        </w:rPr>
        <w:t xml:space="preserve">. No Manager shall be required to manage the Company as his, her or its sole and exclusive function and the Board of Managers, any Member of the Company and any of their respective Affiliates may have other business interests and may engage in other activities in addition to those relating to the Company. Such other business interests or activities may be of any nature or description, and may be engaged in independently or with others, and neither the Company nor any Member shall have any right, by virtue of this Agreement or the Company relationship created hereby, in or to such other ventures or activities of the Board of Managers or any other Member or any of their respective Affiliates, or to the income or proceeds derived therefrom, and the pursuit of such ventures, even if competitive with the Company Business, shall not be deemed wrongful or improper. Notwithstanding anything to the contrary herein, this </w:t>
      </w:r>
      <w:r>
        <w:rPr>
          <w:rFonts w:ascii="Times New Roman" w:hAnsi="Times New Roman"/>
          <w:b w:val="false"/>
          <w:color w:val="000000"/>
          <w:sz w:val="24"/>
          <w:u w:val="single"/>
        </w:rPr>
        <w:t>Section 13.13</w:t>
      </w:r>
      <w:r>
        <w:rPr>
          <w:rFonts w:ascii="Times New Roman" w:hAnsi="Times New Roman"/>
          <w:color w:val="000000"/>
          <w:sz w:val="24"/>
        </w:rPr>
        <w:t xml:space="preserve"> </w:t>
      </w:r>
      <w:r>
        <w:rPr>
          <w:rFonts w:ascii="Times New Roman" w:hAnsi="Times New Roman"/>
          <w:b w:val="false"/>
          <w:color w:val="000000"/>
          <w:sz w:val="24"/>
        </w:rPr>
        <w:t>shall not (i) limit any confidentiality, non-compete or non-solicit agreements of any Member and (ii) apply to employees of the Company or any of its Subsidiaries.</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13.14 </w:t>
      </w:r>
      <w:r>
        <w:rPr>
          <w:rFonts w:ascii="Times New Roman" w:hAnsi="Times New Roman"/>
          <w:b w:val="false"/>
          <w:color w:val="000000"/>
          <w:sz w:val="24"/>
          <w:u w:val="single"/>
        </w:rPr>
        <w:t>CONSENT TO JURISDICTION; SERVICE OF PROCESS AND VENUE</w:t>
      </w:r>
      <w:r>
        <w:rPr>
          <w:rFonts w:ascii="Times New Roman" w:hAnsi="Times New Roman"/>
          <w:b w:val="false"/>
          <w:color w:val="000000"/>
          <w:sz w:val="24"/>
        </w:rPr>
        <w:t xml:space="preserve">. Each party hereto hereby irrevocably and unconditionally submits, for itself and its property, to the exclusive jurisdiction of the Court of Chancery of the State of Delaware (or, if the Court of Chancery of the State of Delaware declines to accept jurisdiction over a particular matter, any federal court within the State of Delaware, or, if no federal court in the State of Delaware accepts jurisdiction, any state court within the State of Delaware) in any action or proceeding arising out of or relating to this Agreement or the Relevant Agreements and Documents and any claim or controversy directly or indirectly based upon or arising out of this Agreement or the Relevant Agreements and Documents, and each of the parties hereto irrevocably and unconditionally agrees that all claims in respect of any such action or proceeding may be heard and determined in such courts. Each of the parties hereto agrees that a final judgment in any such action or proceeding shall be conclusive and may be enforced in other jurisdictions by suit on the judgment or in any other manner provided by Law. Each party hereby waives any right it may have to assert the doctrine of </w:t>
      </w:r>
      <w:r>
        <w:rPr>
          <w:rFonts w:ascii="Times New Roman" w:hAnsi="Times New Roman"/>
          <w:b w:val="false"/>
          <w:i/>
          <w:color w:val="000000"/>
          <w:sz w:val="24"/>
        </w:rPr>
        <w:t>forum non conveniens</w:t>
      </w:r>
      <w:r>
        <w:rPr>
          <w:rFonts w:ascii="Times New Roman" w:hAnsi="Times New Roman"/>
          <w:color w:val="000000"/>
          <w:sz w:val="24"/>
        </w:rPr>
        <w:t xml:space="preserve"> </w:t>
      </w:r>
      <w:r>
        <w:rPr>
          <w:rFonts w:ascii="Times New Roman" w:hAnsi="Times New Roman"/>
          <w:b w:val="false"/>
          <w:color w:val="000000"/>
          <w:sz w:val="24"/>
        </w:rPr>
        <w:t xml:space="preserve">or similar doctrine or to object to venue with respect to any proceeding brought in accordance with this section, and stipulates that the courts stated above in this section shall have </w:t>
      </w:r>
      <w:r>
        <w:rPr>
          <w:rFonts w:ascii="Times New Roman" w:hAnsi="Times New Roman"/>
          <w:b w:val="false"/>
          <w:i/>
          <w:color w:val="000000"/>
          <w:sz w:val="24"/>
        </w:rPr>
        <w:t>in personam</w:t>
      </w:r>
      <w:r>
        <w:rPr>
          <w:rFonts w:ascii="Times New Roman" w:hAnsi="Times New Roman"/>
          <w:color w:val="000000"/>
          <w:sz w:val="24"/>
        </w:rPr>
        <w:t xml:space="preserve"> </w:t>
      </w:r>
      <w:r>
        <w:rPr>
          <w:rFonts w:ascii="Times New Roman" w:hAnsi="Times New Roman"/>
          <w:b w:val="false"/>
          <w:color w:val="000000"/>
          <w:sz w:val="24"/>
        </w:rPr>
        <w:t>jurisdiction and venue over each of the parties for the purpose of litigating any dispute, controversy, or proceeding arising out of or relating in any way whatsoever to this Agreement. Each party hereby authorizes and agrees to accept service of process sufficient for personal jurisdiction in any action against it as contemplated by this section by registered or certified mail, return receipt requested, postage prepaid, to its address for the giving of notices as set forth in this Agreement.</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13.15 </w:t>
      </w:r>
      <w:r>
        <w:rPr>
          <w:rFonts w:ascii="Times New Roman" w:hAnsi="Times New Roman"/>
          <w:b w:val="false"/>
          <w:color w:val="000000"/>
          <w:sz w:val="24"/>
          <w:u w:val="single"/>
        </w:rPr>
        <w:t>JURY TRIAL WAIVER</w:t>
      </w:r>
      <w:r>
        <w:rPr>
          <w:rFonts w:ascii="Times New Roman" w:hAnsi="Times New Roman"/>
          <w:b w:val="false"/>
          <w:color w:val="000000"/>
          <w:sz w:val="24"/>
        </w:rPr>
        <w:t>. EACH PARTY HEREBY EXPRESSLY WAIVES THE RIGHT TO A TRIAL BY JURY IN ANY PROCEEDING BROUGHT BY OR AGAINST IT ARISING OUT OF OR RELATED TO THIS AGREEMENT AND ANY CLAIM OR CONTROVERSY DIRECTLY OR INDIRECTLY BASED UPON OR ARISING OUT OF THIS AGREEMENT OR THE RELEVANT AGREEMENTS AND DOCUMENTS.</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13.16 </w:t>
      </w:r>
      <w:r>
        <w:rPr>
          <w:rFonts w:ascii="Times New Roman" w:hAnsi="Times New Roman"/>
          <w:b w:val="false"/>
          <w:color w:val="000000"/>
          <w:sz w:val="24"/>
          <w:u w:val="single"/>
        </w:rPr>
        <w:t>Specific Performance</w:t>
      </w:r>
      <w:r>
        <w:rPr>
          <w:rFonts w:ascii="Times New Roman" w:hAnsi="Times New Roman"/>
          <w:b w:val="false"/>
          <w:color w:val="000000"/>
          <w:sz w:val="24"/>
        </w:rPr>
        <w:t>. Each party hereto acknowledges and agrees that irreparable damage would occur to the other parties hereto and that the other parties hereto will not have an adequate remedy at law in the event that any of the provisions of this Agreement to be performed by such party were not performed in accordance with their specific terms or were otherwise breached. Therefore, each party hereto is entitled to an injunction or injunctions to prevent breaches of this Agreement by the other parties and to specifically enforce the terms and provisions of this Agreement against such other parties hereto in any court of competent jurisdiction, without bond or other security being required, and appropriate injunctive relief may be applied for by such parties and granted in connection therewith. Such remedies are, however, cumulative and not exclusive and are in addition to any other remedies which any party may have under this Agreement or otherwise.</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Section 13.17 </w:t>
      </w:r>
      <w:r>
        <w:rPr>
          <w:rFonts w:ascii="Times New Roman" w:hAnsi="Times New Roman"/>
          <w:b w:val="false"/>
          <w:color w:val="000000"/>
          <w:sz w:val="24"/>
          <w:u w:val="single"/>
        </w:rPr>
        <w:t>Further Assurances</w:t>
      </w:r>
      <w:r>
        <w:rPr>
          <w:rFonts w:ascii="Times New Roman" w:hAnsi="Times New Roman"/>
          <w:b w:val="false"/>
          <w:color w:val="000000"/>
          <w:sz w:val="24"/>
        </w:rPr>
        <w:t>. Each party shall cooperate and take such action as may be reasonably requested by another party in order to carry out the provisions and purposes of this Agreement and the transactions contemplated hereby.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[THE REMAINDER OF THIS PAGE IS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IN WITNESS WHEREOF, the parties hereto have executed this Agreement as of the date first above written.</w:t>
      </w:r>
    </w:p>
    <w:p>
      <w:pPr>
        <w:pStyle w:val="TextBody"/>
        <w:bidi w:val="0"/>
        <w:jc w:val="left"/>
        <w:rPr>
          <w:rFonts w:ascii="Times New Roman" w:hAnsi="Times New Roman"/>
          <w:sz w:val="24"/>
        </w:rPr>
      </w:pPr>
      <w:r>
        <w:rPr>
          <w:rFonts w:ascii="Times New Roman" w:hAnsi="Times New Roman"/>
          <w:b/>
          <w:color w:val="000000"/>
          <w:sz w:val="24"/>
          <w:u w:val="single"/>
        </w:rPr>
        <w:t>COMPANY</w:t>
      </w:r>
      <w:r>
        <w:rPr>
          <w:rFonts w:ascii="Times New Roman" w:hAnsi="Times New Roman"/>
          <w:b/>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VROOM AUTOMOTIVE, LLC</w:t>
      </w:r>
      <w:r>
        <w:rPr>
          <w:rFonts w:ascii="Times New Roman" w:hAnsi="Times New Roman"/>
          <w:color w:val="000000"/>
          <w:sz w:val="24"/>
        </w:rPr>
        <w:br/>
        <w:br/>
        <w:br/>
        <w:br/>
        <w:t xml:space="preserve">By: </w:t>
      </w:r>
      <w:r>
        <w:rPr>
          <w:rFonts w:ascii="Times New Roman" w:hAnsi="Times New Roman"/>
          <w:color w:val="000000"/>
          <w:sz w:val="24"/>
          <w:u w:val="single"/>
        </w:rPr>
        <w:t>/s/ Jonathan Sandison</w:t>
      </w:r>
      <w:r>
        <w:rPr>
          <w:rFonts w:ascii="Times New Roman" w:hAnsi="Times New Roman"/>
          <w:color w:val="000000"/>
          <w:sz w:val="20"/>
          <w:u w:val="single"/>
        </w:rPr>
        <w:t xml:space="preserve"> </w:t>
      </w:r>
      <w:r>
        <w:rPr>
          <w:rFonts w:ascii="Times New Roman" w:hAnsi="Times New Roman"/>
          <w:color w:val="000000"/>
          <w:sz w:val="24"/>
        </w:rPr>
        <w:br/>
        <w:t>Name: Jonathan Sandison</w:t>
        <w:br/>
        <w:t>Title: Chief Financial Officer</w:t>
      </w:r>
    </w:p>
    <w:p>
      <w:pPr>
        <w:pStyle w:val="TextBody"/>
        <w:bidi w:val="0"/>
        <w:spacing w:before="0" w:after="60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smallCaps/>
          <w:color w:val="000000"/>
          <w:sz w:val="20"/>
        </w:rPr>
        <w:t>[</w:t>
      </w:r>
      <w:r>
        <w:rPr>
          <w:rFonts w:ascii="Times New Roman" w:hAnsi="Times New Roman"/>
          <w:color w:val="000000"/>
          <w:sz w:val="20"/>
        </w:rPr>
        <w:t xml:space="preserve">Signature Page To Third Amended And Restated </w:t>
        <w:br/>
        <w:t>Limited Liability Company Agreement of Vroom Automotive, LLC</w:t>
      </w:r>
      <w:r>
        <w:rPr>
          <w:rFonts w:ascii="Times New Roman" w:hAnsi="Times New Roman"/>
          <w:smallCaps/>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u w:val="single"/>
        </w:rPr>
        <w:t>VROOM MEMBER</w:t>
      </w:r>
      <w:r>
        <w:rPr>
          <w:rFonts w:ascii="Times New Roman" w:hAnsi="Times New Roman"/>
          <w:b/>
          <w:color w:val="000000"/>
          <w:sz w:val="24"/>
        </w:rPr>
        <w:t>:</w:t>
      </w:r>
    </w:p>
    <w:p>
      <w:pPr>
        <w:pStyle w:val="TextBody"/>
        <w:bidi w:val="0"/>
        <w:jc w:val="left"/>
        <w:rPr/>
      </w:pPr>
      <w:r>
        <w:rPr/>
        <w:t> </w:t>
      </w:r>
    </w:p>
    <w:p>
      <w:pPr>
        <w:pStyle w:val="TextBody"/>
        <w:bidi w:val="0"/>
        <w:spacing w:before="0" w:after="600"/>
        <w:jc w:val="left"/>
        <w:rPr>
          <w:rFonts w:ascii="Times New Roman" w:hAnsi="Times New Roman"/>
          <w:sz w:val="24"/>
        </w:rPr>
      </w:pPr>
      <w:r>
        <w:rPr>
          <w:rFonts w:ascii="Times New Roman" w:hAnsi="Times New Roman"/>
          <w:b/>
          <w:color w:val="000000"/>
          <w:sz w:val="24"/>
        </w:rPr>
        <w:t>VROOM FINANCE HOLDINGS, LLC</w:t>
      </w:r>
      <w:r>
        <w:rPr>
          <w:rFonts w:ascii="Times New Roman" w:hAnsi="Times New Roman"/>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Jonathan Sandison</w:t>
      </w:r>
      <w:r>
        <w:rPr>
          <w:rFonts w:ascii="Times New Roman" w:hAnsi="Times New Roman"/>
          <w:color w:val="000000"/>
          <w:sz w:val="20"/>
          <w:u w:val="single"/>
        </w:rPr>
        <w:t xml:space="preserve"> </w:t>
      </w:r>
      <w:r>
        <w:rPr>
          <w:rFonts w:ascii="Times New Roman" w:hAnsi="Times New Roman"/>
          <w:color w:val="000000"/>
          <w:sz w:val="24"/>
        </w:rPr>
        <w:br/>
        <w:t>Name: Jonathan Sandison</w:t>
        <w:br/>
        <w:t>Title: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00000"/>
          <w:sz w:val="24"/>
          <w:u w:val="single"/>
        </w:rPr>
        <w:t>VROOM PARENT</w:t>
      </w:r>
      <w:r>
        <w:rPr>
          <w:rFonts w:ascii="Times New Roman" w:hAnsi="Times New Roman"/>
          <w:b/>
          <w:color w:val="000000"/>
          <w:sz w:val="24"/>
        </w:rPr>
        <w:t>:</w:t>
      </w:r>
    </w:p>
    <w:p>
      <w:pPr>
        <w:pStyle w:val="TextBody"/>
        <w:bidi w:val="0"/>
        <w:jc w:val="left"/>
        <w:rPr/>
      </w:pPr>
      <w:r>
        <w:rPr/>
        <w:t> </w:t>
      </w:r>
    </w:p>
    <w:p>
      <w:pPr>
        <w:pStyle w:val="TextBody"/>
        <w:bidi w:val="0"/>
        <w:spacing w:before="0" w:after="600"/>
        <w:jc w:val="left"/>
        <w:rPr>
          <w:rFonts w:ascii="Times New Roman" w:hAnsi="Times New Roman"/>
          <w:b/>
          <w:color w:val="000000"/>
          <w:sz w:val="24"/>
        </w:rPr>
      </w:pPr>
      <w:r>
        <w:rPr>
          <w:rFonts w:ascii="Times New Roman" w:hAnsi="Times New Roman"/>
          <w:b/>
          <w:color w:val="000000"/>
          <w:sz w:val="24"/>
        </w:rPr>
        <w:t>VROOM, INC.</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Thomas Shortt</w:t>
      </w:r>
      <w:r>
        <w:rPr>
          <w:rFonts w:ascii="Times New Roman" w:hAnsi="Times New Roman"/>
          <w:color w:val="000000"/>
          <w:sz w:val="20"/>
          <w:u w:val="single"/>
        </w:rPr>
        <w:t xml:space="preserve"> </w:t>
      </w:r>
      <w:r>
        <w:rPr>
          <w:rFonts w:ascii="Times New Roman" w:hAnsi="Times New Roman"/>
          <w:color w:val="000000"/>
          <w:sz w:val="24"/>
        </w:rPr>
        <w:br/>
        <w:t>Name: Thomas Shortt</w:t>
        <w:br/>
        <w:t>Title: Chief Executive Officer</w:t>
      </w:r>
    </w:p>
    <w:p>
      <w:pPr>
        <w:pStyle w:val="TextBody"/>
        <w:bidi w:val="0"/>
        <w:jc w:val="left"/>
        <w:rPr/>
      </w:pPr>
      <w:r>
        <w:rPr/>
        <w:t> </w:t>
      </w:r>
    </w:p>
    <w:p>
      <w:pPr>
        <w:pStyle w:val="TextBody"/>
        <w:bidi w:val="0"/>
        <w:spacing w:before="0" w:after="60"/>
        <w:jc w:val="left"/>
        <w:rPr/>
      </w:pPr>
      <w:r>
        <w:rPr/>
        <w:t> </w:t>
      </w:r>
    </w:p>
    <w:p>
      <w:pPr>
        <w:pStyle w:val="TextBody"/>
        <w:bidi w:val="0"/>
        <w:jc w:val="center"/>
        <w:rPr>
          <w:rFonts w:ascii="Times New Roman" w:hAnsi="Times New Roman"/>
          <w:sz w:val="20"/>
        </w:rPr>
      </w:pPr>
      <w:r>
        <w:rPr>
          <w:rFonts w:ascii="Times New Roman" w:hAnsi="Times New Roman"/>
          <w:smallCaps/>
          <w:color w:val="000000"/>
          <w:sz w:val="20"/>
        </w:rPr>
        <w:t>[</w:t>
      </w:r>
      <w:r>
        <w:rPr>
          <w:rFonts w:ascii="Times New Roman" w:hAnsi="Times New Roman"/>
          <w:color w:val="000000"/>
          <w:sz w:val="20"/>
        </w:rPr>
        <w:t xml:space="preserve">Signature Page To Third Amended And Restated </w:t>
        <w:br/>
        <w:t>Limited Liability Company Agreement of Vroom Automotive, LLC</w:t>
      </w:r>
      <w:r>
        <w:rPr>
          <w:rFonts w:ascii="Times New Roman" w:hAnsi="Times New Roman"/>
          <w:smallCaps/>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INVESTOR MEMBER:</w:t>
      </w:r>
    </w:p>
    <w:p>
      <w:pPr>
        <w:pStyle w:val="TextBody"/>
        <w:bidi w:val="0"/>
        <w:jc w:val="left"/>
        <w:rPr/>
      </w:pPr>
      <w:r>
        <w:rPr/>
        <w:t> </w:t>
      </w:r>
    </w:p>
    <w:p>
      <w:pPr>
        <w:pStyle w:val="TextBody"/>
        <w:bidi w:val="0"/>
        <w:spacing w:before="0" w:after="600"/>
        <w:jc w:val="left"/>
        <w:rPr>
          <w:rFonts w:ascii="Times New Roman" w:hAnsi="Times New Roman"/>
          <w:sz w:val="24"/>
        </w:rPr>
      </w:pPr>
      <w:r>
        <w:rPr>
          <w:rFonts w:ascii="Times New Roman" w:hAnsi="Times New Roman"/>
          <w:b/>
          <w:color w:val="000000"/>
          <w:sz w:val="24"/>
        </w:rPr>
        <w:t>SPE HOLDINGS 2026-1</w:t>
      </w:r>
      <w:r>
        <w:rPr>
          <w:rFonts w:ascii="Times New Roman" w:hAnsi="Times New Roman"/>
          <w:color w:val="000000"/>
          <w:sz w:val="24"/>
        </w:rPr>
        <w:br/>
        <w:br/>
        <w:t>By: UMB Bank, N.A., not in its individual capacity but solely as Trustee</w:t>
      </w:r>
    </w:p>
    <w:p>
      <w:pPr>
        <w:pStyle w:val="TextBody"/>
        <w:bidi w:val="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rPr>
        <w:t>[***]</w:t>
        <w:br/>
        <w:t>Name: [***]</w:t>
        <w:br/>
        <w:t>Title: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smallCaps/>
          <w:color w:val="000000"/>
          <w:sz w:val="20"/>
        </w:rPr>
        <w:t>[</w:t>
      </w:r>
      <w:r>
        <w:rPr>
          <w:rFonts w:ascii="Times New Roman" w:hAnsi="Times New Roman"/>
          <w:color w:val="000000"/>
          <w:sz w:val="20"/>
        </w:rPr>
        <w:t xml:space="preserve">SIGNATURE PAGE TO THIRD AMENDED AND RESTATED </w:t>
        <w:br/>
        <w:t>LIMITED LIABILITY COMPANY AGREEMENT OF VROOM AUTOMOTIVE, LLC</w:t>
      </w:r>
      <w:r>
        <w:rPr>
          <w:rFonts w:ascii="Times New Roman" w:hAnsi="Times New Roman"/>
          <w:smallCaps/>
          <w:color w:val="000000"/>
          <w:sz w:val="20"/>
        </w:rPr>
        <w:t>]</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44394</Words>
  <Characters>236170</Characters>
  <CharactersWithSpaces>279570</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