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8813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3165"/>
                    </a:xfrm>
                    <a:prstGeom prst="rect">
                      <a:avLst/>
                    </a:prstGeom>
                    <a:noFill/>
                  </pic:spPr>
                </pic:pic>
              </a:graphicData>
            </a:graphic>
          </wp:anchor>
        </w:drawing>
      </w:r>
    </w:p>
    <w:p>
      <w:pPr>
        <w:spacing w:after="0" w:line="1022" w:lineRule="exact"/>
        <w:rPr>
          <w:sz w:val="24"/>
          <w:szCs w:val="24"/>
          <w:color w:val="auto"/>
        </w:rPr>
      </w:pPr>
    </w:p>
    <w:p>
      <w:pPr>
        <w:sectPr>
          <w:pgSz w:w="11900" w:h="16915"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Mudrick Capital Management,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10"/>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Vroom,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2"/>
            <w:vMerge w:val="restart"/>
          </w:tcPr>
          <w:p>
            <w:pPr>
              <w:ind w:left="340"/>
              <w:spacing w:after="0" w:line="146" w:lineRule="exact"/>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4"/>
                <w:szCs w:val="4"/>
                <w:color w:val="auto"/>
              </w:rPr>
            </w:pPr>
          </w:p>
        </w:tc>
        <w:tc>
          <w:tcPr>
            <w:tcW w:w="1560" w:type="dxa"/>
            <w:vAlign w:val="bottom"/>
            <w:gridSpan w:val="4"/>
            <w:vMerge w:val="restart"/>
          </w:tcPr>
          <w:p>
            <w:pPr>
              <w:ind w:left="400"/>
              <w:spacing w:after="0" w:line="146" w:lineRule="exact"/>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500" w:type="dxa"/>
            <w:vAlign w:val="bottom"/>
            <w:gridSpan w:val="3"/>
            <w:vMerge w:val="restart"/>
          </w:tcPr>
          <w:p>
            <w:pPr>
              <w:ind w:left="340"/>
              <w:spacing w:after="0"/>
              <w:rPr>
                <w:sz w:val="20"/>
                <w:szCs w:val="20"/>
                <w:color w:val="auto"/>
              </w:rPr>
            </w:pPr>
            <w:r>
              <w:rPr>
                <w:rFonts w:ascii="Arial" w:cs="Arial" w:eastAsia="Arial" w:hAnsi="Arial"/>
                <w:sz w:val="13"/>
                <w:szCs w:val="13"/>
                <w:color w:val="auto"/>
              </w:rPr>
              <w:t>Officer (give title</w:t>
            </w:r>
          </w:p>
        </w:tc>
        <w:tc>
          <w:tcPr>
            <w:tcW w:w="1560" w:type="dxa"/>
            <w:vAlign w:val="bottom"/>
            <w:gridSpan w:val="4"/>
            <w:vMerge w:val="restart"/>
          </w:tcPr>
          <w:p>
            <w:pPr>
              <w:ind w:left="40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11"/>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w w:val="93"/>
              </w:rPr>
              <w:t>below)</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31 WEST 52ND STREET</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9"/>
          </w:tcPr>
          <w:p>
            <w:pPr>
              <w:ind w:left="360"/>
              <w:spacing w:after="0"/>
              <w:rPr>
                <w:sz w:val="20"/>
                <w:szCs w:val="20"/>
                <w:color w:val="auto"/>
              </w:rPr>
            </w:pPr>
            <w:r>
              <w:rPr>
                <w:rFonts w:ascii="Times New Roman" w:cs="Times New Roman" w:eastAsia="Times New Roman" w:hAnsi="Times New Roman"/>
                <w:sz w:val="16"/>
                <w:szCs w:val="16"/>
                <w:color w:val="0000FF"/>
              </w:rPr>
              <w:t>06/15/2026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16TH FLOOR</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3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2"/>
            <w:vMerge w:val="continue"/>
          </w:tcPr>
          <w:p>
            <w:pPr>
              <w:spacing w:after="0"/>
              <w:rPr>
                <w:sz w:val="8"/>
                <w:szCs w:val="8"/>
                <w:color w:val="auto"/>
              </w:rPr>
            </w:pPr>
          </w:p>
        </w:tc>
        <w:tc>
          <w:tcPr>
            <w:tcW w:w="340" w:type="dxa"/>
            <w:vAlign w:val="bottom"/>
          </w:tcPr>
          <w:p>
            <w:pPr>
              <w:spacing w:after="0"/>
              <w:rPr>
                <w:sz w:val="8"/>
                <w:szCs w:val="8"/>
                <w:color w:val="auto"/>
              </w:rPr>
            </w:pPr>
          </w:p>
        </w:tc>
        <w:tc>
          <w:tcPr>
            <w:tcW w:w="3300" w:type="dxa"/>
            <w:vAlign w:val="bottom"/>
            <w:gridSpan w:val="9"/>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7"/>
          </w:tcPr>
          <w:p>
            <w:pPr>
              <w:ind w:left="36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0000FF"/>
              </w:rPr>
              <w:t>10019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7"/>
          </w:tcPr>
          <w:p>
            <w:pPr>
              <w:ind w:left="3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1"/>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4"/>
                <w:szCs w:val="14"/>
                <w:color w:val="auto"/>
              </w:rPr>
            </w:pPr>
          </w:p>
        </w:tc>
        <w:tc>
          <w:tcPr>
            <w:tcW w:w="1300" w:type="dxa"/>
            <w:vAlign w:val="bottom"/>
            <w:gridSpan w:val="6"/>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5"/>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6"/>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gridSpan w:val="6"/>
          </w:tcPr>
          <w:p>
            <w:pPr>
              <w:ind w:left="2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6"/>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6"/>
          </w:tcPr>
          <w:p>
            <w:pPr>
              <w:jc w:val="center"/>
              <w:ind w:left="593"/>
              <w:spacing w:after="0"/>
              <w:rPr>
                <w:sz w:val="20"/>
                <w:szCs w:val="20"/>
                <w:color w:val="auto"/>
              </w:rPr>
            </w:pPr>
            <w:r>
              <w:rPr>
                <w:rFonts w:ascii="Times New Roman" w:cs="Times New Roman" w:eastAsia="Times New Roman" w:hAnsi="Times New Roman"/>
                <w:sz w:val="16"/>
                <w:szCs w:val="16"/>
                <w:color w:val="0000FF"/>
              </w:rPr>
              <w:t>06/15/2026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60"/>
              <w:spacing w:after="0"/>
              <w:rPr>
                <w:sz w:val="20"/>
                <w:szCs w:val="20"/>
                <w:color w:val="auto"/>
              </w:rPr>
            </w:pPr>
            <w:r>
              <w:rPr>
                <w:rFonts w:ascii="Times New Roman" w:cs="Times New Roman" w:eastAsia="Times New Roman" w:hAnsi="Times New Roman"/>
                <w:sz w:val="16"/>
                <w:szCs w:val="16"/>
                <w:color w:val="0000FF"/>
                <w:w w:val="93"/>
              </w:rPr>
              <w:t>15,595</w:t>
            </w:r>
            <w:r>
              <w:rPr>
                <w:rFonts w:ascii="Times New Roman" w:cs="Times New Roman" w:eastAsia="Times New Roman" w:hAnsi="Times New Roman"/>
                <w:sz w:val="20"/>
                <w:szCs w:val="20"/>
                <w:color w:val="008000"/>
                <w:w w:val="93"/>
                <w:vertAlign w:val="superscript"/>
              </w:rPr>
              <w:t>(2)</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7.22</w:t>
            </w:r>
          </w:p>
        </w:tc>
        <w:tc>
          <w:tcPr>
            <w:tcW w:w="1240" w:type="dxa"/>
            <w:vAlign w:val="bottom"/>
            <w:gridSpan w:val="3"/>
          </w:tcPr>
          <w:p>
            <w:pPr>
              <w:jc w:val="right"/>
              <w:ind w:right="163"/>
              <w:spacing w:after="0"/>
              <w:rPr>
                <w:sz w:val="20"/>
                <w:szCs w:val="20"/>
                <w:color w:val="auto"/>
              </w:rPr>
            </w:pPr>
            <w:r>
              <w:rPr>
                <w:rFonts w:ascii="Times New Roman" w:cs="Times New Roman" w:eastAsia="Times New Roman" w:hAnsi="Times New Roman"/>
                <w:sz w:val="16"/>
                <w:szCs w:val="16"/>
                <w:color w:val="0000FF"/>
              </w:rPr>
              <w:t>3,982,846</w:t>
            </w:r>
            <w:r>
              <w:rPr>
                <w:rFonts w:ascii="Times New Roman" w:cs="Times New Roman" w:eastAsia="Times New Roman" w:hAnsi="Times New Roman"/>
                <w:sz w:val="20"/>
                <w:szCs w:val="20"/>
                <w:color w:val="008000"/>
                <w:vertAlign w:val="superscript"/>
              </w:rPr>
              <w:t>(3)</w:t>
            </w:r>
          </w:p>
        </w:tc>
        <w:tc>
          <w:tcPr>
            <w:tcW w:w="320" w:type="dxa"/>
            <w:vAlign w:val="bottom"/>
          </w:tcPr>
          <w:p>
            <w:pPr>
              <w:spacing w:after="0"/>
              <w:rPr>
                <w:sz w:val="22"/>
                <w:szCs w:val="22"/>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Notes</w:t>
            </w:r>
            <w:r>
              <w:rPr>
                <w:rFonts w:ascii="Times New Roman" w:cs="Times New Roman" w:eastAsia="Times New Roman" w:hAnsi="Times New Roman"/>
                <w:sz w:val="20"/>
                <w:szCs w:val="20"/>
                <w:color w:val="008000"/>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color w:val="008000"/>
              </w:rPr>
              <w:t>(6)(7)(8)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gridSpan w:val="8"/>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20"/>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20" w:type="dxa"/>
            <w:vAlign w:val="bottom"/>
            <w:gridSpan w:val="17"/>
          </w:tcPr>
          <w:p>
            <w:pPr>
              <w:jc w:val="center"/>
              <w:ind w:left="21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8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60.95</w:t>
            </w:r>
          </w:p>
        </w:tc>
        <w:tc>
          <w:tcPr>
            <w:tcW w:w="120" w:type="dxa"/>
            <w:vAlign w:val="bottom"/>
          </w:tcPr>
          <w:p>
            <w:pPr>
              <w:spacing w:after="0"/>
              <w:rPr>
                <w:sz w:val="21"/>
                <w:szCs w:val="21"/>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6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w w:val="85"/>
              </w:rPr>
              <w:t>15,595</w:t>
            </w:r>
            <w:r>
              <w:rPr>
                <w:rFonts w:ascii="Times New Roman" w:cs="Times New Roman" w:eastAsia="Times New Roman" w:hAnsi="Times New Roman"/>
                <w:sz w:val="20"/>
                <w:szCs w:val="20"/>
                <w:color w:val="008000"/>
                <w:w w:val="85"/>
                <w:vertAlign w:val="superscript"/>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01/14/2030</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15,595</w:t>
            </w:r>
          </w:p>
        </w:tc>
        <w:tc>
          <w:tcPr>
            <w:tcW w:w="7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0.01</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15,595</w:t>
            </w:r>
            <w:r>
              <w:rPr>
                <w:rFonts w:ascii="Times New Roman" w:cs="Times New Roman" w:eastAsia="Times New Roman" w:hAnsi="Times New Roman"/>
                <w:sz w:val="20"/>
                <w:szCs w:val="20"/>
                <w:color w:val="008000"/>
                <w:vertAlign w:val="superscript"/>
              </w:rPr>
              <w:t>(5)</w:t>
            </w: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8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88"/>
              </w:rPr>
              <w:t>See Notes</w:t>
            </w:r>
            <w:r>
              <w:rPr>
                <w:rFonts w:ascii="Times New Roman" w:cs="Times New Roman" w:eastAsia="Times New Roman" w:hAnsi="Times New Roman"/>
                <w:sz w:val="20"/>
                <w:szCs w:val="20"/>
                <w:color w:val="008000"/>
                <w:w w:val="88"/>
                <w:vertAlign w:val="superscript"/>
              </w:rPr>
              <w:t>(1)(6)</w:t>
            </w: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3"/>
                <w:szCs w:val="13"/>
                <w:color w:val="0000FF"/>
              </w:rPr>
              <w:t>Stock</w:t>
            </w:r>
          </w:p>
        </w:tc>
        <w:tc>
          <w:tcPr>
            <w:tcW w:w="3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7"/>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Mudrick Capital Management, L.P.</w:t>
              </w:r>
            </w:hyperlink>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31 WEST 52ND STREET</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16TH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10019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gridSpan w:val="12"/>
          </w:tcPr>
          <w:p>
            <w:pPr>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Mudrick Distressed Opportunity Drawdown Fund</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206" w:lineRule="exact"/>
              <w:rPr>
                <w:rFonts w:ascii="Times New Roman" w:cs="Times New Roman" w:eastAsia="Times New Roman" w:hAnsi="Times New Roman"/>
                <w:sz w:val="20"/>
                <w:szCs w:val="20"/>
                <w:color w:val="0000EE"/>
                <w:w w:val="98"/>
              </w:rPr>
            </w:pPr>
            <w:hyperlink r:id="rId15">
              <w:r>
                <w:rPr>
                  <w:rFonts w:ascii="Times New Roman" w:cs="Times New Roman" w:eastAsia="Times New Roman" w:hAnsi="Times New Roman"/>
                  <w:sz w:val="20"/>
                  <w:szCs w:val="20"/>
                  <w:color w:val="0000EE"/>
                  <w:w w:val="98"/>
                </w:rPr>
                <w:t>II, L.P.</w:t>
              </w:r>
            </w:hyperlink>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31 WEST 52ND STREET</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16TH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10019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-5173345</wp:posOffset>
            </wp:positionV>
            <wp:extent cx="28575" cy="172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726565"/>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line="235" w:lineRule="auto"/>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Mudrick Distressed Opportunity 2020 Dislocation</w:t>
        </w:r>
      </w:hyperlink>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Fund, L.P.</w:t>
        </w:r>
      </w:hyperlink>
    </w:p>
    <w:p>
      <w:pPr>
        <w:sectPr>
          <w:pgSz w:w="11900" w:h="16915" w:orient="portrait"/>
          <w:cols w:equalWidth="0" w:num="1">
            <w:col w:w="11080"/>
          </w:cols>
          <w:pgMar w:left="460" w:top="214" w:right="359" w:bottom="0" w:gutter="0" w:footer="0" w:header="0"/>
          <w:type w:val="continuous"/>
        </w:sectPr>
      </w:pPr>
    </w:p>
    <w:p>
      <w:pPr>
        <w:spacing w:after="0" w:line="28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ectPr>
          <w:pgSz w:w="11900" w:h="16915" w:orient="portrait"/>
          <w:cols w:equalWidth="0" w:num="1">
            <w:col w:w="11080"/>
          </w:cols>
          <w:pgMar w:left="460" w:top="214"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279400</wp:posOffset>
            </wp:positionH>
            <wp:positionV relativeFrom="page">
              <wp:posOffset>88900</wp:posOffset>
            </wp:positionV>
            <wp:extent cx="2807970" cy="6276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7970" cy="6276975"/>
                    </a:xfrm>
                    <a:prstGeom prst="rect">
                      <a:avLst/>
                    </a:prstGeom>
                    <a:noFill/>
                  </pic:spPr>
                </pic:pic>
              </a:graphicData>
            </a:graphic>
          </wp:anchor>
        </w:drawing>
        <w:t>31 WEST 52ND STREET</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16TH FLOOR</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Mudrick Distressed Opportunity 2020 Dislocation</w:t>
        </w:r>
      </w:hyperlink>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Fund GP, LLC</w:t>
        </w:r>
      </w:hyperlink>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88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Mudrick Distressed Opportunity Fund Global, LP</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Mudrick GP, LLC</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80" w:hanging="2"/>
        <w:spacing w:after="0" w:line="229"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following Reporting Persons: Mudrick Capital Management, L.P. ("MCM"); Mudrick Capital Management, LLC ("MCM GP"); Jason Mudrick; Mudrick Distressed Opportunity Fund Global, L.P. ("Mudrick Opp Global"); Mudrick GP, LLC ("Mudrick GP"); Mudrick Distressed Opportunity Drawdown Fund II, L.P. ("Drawdown II"); Mudrick Distressed Opportunity Drawdown Fund II SC, L.P. ("Drawdown II SC"); Mudrick Distressed Opportunity Drawdown Fund II GP, LLC ("Drawdown II GP"); Mudrick Distressed Opportunity Drawdown Fund III, L.P. ("Drawdown III"); Mudrick Distressed Opportunity Drawdown Fund III GP, LLC ("Drawdown III GP"); Mudrick Distressed Opportunity SIF Master Fund, L.P. ("SIF"); Mudrick Distressed Opportunity SIF GP, LLC ("SIF GP"); Mudrick Distressed Opportunity 2020 Dislocation Fund, L.P. ("DISL"); Mudrick Distressed Opportunity 2020 Dislocation Fund GP, LLC ("DISL GP"); and Matthew Pietroforte.</w:t>
      </w:r>
    </w:p>
    <w:p>
      <w:pPr>
        <w:spacing w:after="0" w:line="25" w:lineRule="exact"/>
        <w:rPr>
          <w:rFonts w:ascii="Times New Roman" w:cs="Times New Roman" w:eastAsia="Times New Roman" w:hAnsi="Times New Roman"/>
          <w:sz w:val="13"/>
          <w:szCs w:val="13"/>
          <w:color w:val="008000"/>
        </w:rPr>
      </w:pPr>
    </w:p>
    <w:p>
      <w:pPr>
        <w:ind w:left="2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purchased in a privately negotiated transaction ("Stock Purchase") as follows: 387 by Drawdown II SC; 1,148 by DISL; 4,151 by Drawdown II; 256 by Drawdown III; and 9,653 by certain accounts managed by MCM.</w:t>
      </w:r>
    </w:p>
    <w:p>
      <w:pPr>
        <w:spacing w:after="0" w:line="22" w:lineRule="exact"/>
        <w:rPr>
          <w:rFonts w:ascii="Times New Roman" w:cs="Times New Roman" w:eastAsia="Times New Roman" w:hAnsi="Times New Roman"/>
          <w:sz w:val="13"/>
          <w:szCs w:val="13"/>
          <w:color w:val="008000"/>
        </w:rPr>
      </w:pPr>
    </w:p>
    <w:p>
      <w:pPr>
        <w:ind w:left="20" w:right="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directly held following the reported transaction as follows: 1,058,822 by Mudrick Opp Global; 729,536 by Drawdown II; 68,082 by Drawdown II SC; 45,002 by Drawdown III; 201,805 by DISL; 182,936 by SIF; and 1,696,663 by certain accounts managed by MCM.</w:t>
      </w:r>
    </w:p>
    <w:p>
      <w:pPr>
        <w:spacing w:after="0" w:line="22" w:lineRule="exact"/>
        <w:rPr>
          <w:rFonts w:ascii="Times New Roman" w:cs="Times New Roman" w:eastAsia="Times New Roman" w:hAnsi="Times New Roman"/>
          <w:sz w:val="13"/>
          <w:szCs w:val="13"/>
          <w:color w:val="008000"/>
        </w:rPr>
      </w:pPr>
    </w:p>
    <w:p>
      <w:pPr>
        <w:ind w:left="20" w:right="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immediately exercisable warrants to purchase an equal number of shares of Common Stock (subject to adjustments in accordance with the terms of such warrants) purchased in connection with the Stock Purchase as follows: 387 by Drawdown II SC; 1,148 by DISL; 4,151 by Drawdown II; 256 by Drawdown III; and 9,653 by certain accounts managed by MCM.</w:t>
      </w:r>
    </w:p>
    <w:p>
      <w:pPr>
        <w:spacing w:after="0" w:line="22" w:lineRule="exact"/>
        <w:rPr>
          <w:rFonts w:ascii="Times New Roman" w:cs="Times New Roman" w:eastAsia="Times New Roman" w:hAnsi="Times New Roman"/>
          <w:sz w:val="13"/>
          <w:szCs w:val="13"/>
          <w:color w:val="008000"/>
        </w:rPr>
      </w:pPr>
    </w:p>
    <w:p>
      <w:pPr>
        <w:ind w:left="20" w:right="26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into which the Warrants may be converted in each case, subject to adjustment and other terms of the warrants as follows: 387 by Drawdown II SC; 1,148 by DISL; 4,151 by Drawdown II; 256 by Drawdown III; and 9,653 by certain accounts managed by MCM.</w:t>
      </w:r>
    </w:p>
    <w:p>
      <w:pPr>
        <w:spacing w:after="0" w:line="22" w:lineRule="exact"/>
        <w:rPr>
          <w:rFonts w:ascii="Times New Roman" w:cs="Times New Roman" w:eastAsia="Times New Roman" w:hAnsi="Times New Roman"/>
          <w:sz w:val="13"/>
          <w:szCs w:val="13"/>
          <w:color w:val="008000"/>
        </w:rPr>
      </w:pPr>
    </w:p>
    <w:p>
      <w:pPr>
        <w:ind w:left="20" w:right="40" w:hanging="2"/>
        <w:spacing w:after="0" w:line="231"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Mudrick GP is the general partner of Global LP and may be deemed to beneficially own the number of securities of the Issuer directly held by Global LP. Drawdown II GP is the general partner of Drawdown II and Drawdown II SC and may be deemed to beneficially own the securities of the Issuer directly held by Drawdown II and Drawdown II SC. Drawdown III GP is the general partner of Drawdown III and may be deemed to beneficially own the securities of the Issuer directly held by Drawdown III. DISL GP is the general partner of DISL and may be deemed to beneficially own the number of securities of the Issuer held by DISL. SIF GP is the general partner of SIF and may be deemed to beneficially own the securities of the Issuer directly held by SIF</w:t>
      </w:r>
    </w:p>
    <w:p>
      <w:pPr>
        <w:spacing w:after="0" w:line="25" w:lineRule="exact"/>
        <w:rPr>
          <w:rFonts w:ascii="Times New Roman" w:cs="Times New Roman" w:eastAsia="Times New Roman" w:hAnsi="Times New Roman"/>
          <w:sz w:val="13"/>
          <w:szCs w:val="13"/>
          <w:color w:val="008000"/>
        </w:rPr>
      </w:pPr>
    </w:p>
    <w:p>
      <w:pPr>
        <w:jc w:val="both"/>
        <w:ind w:left="20" w:hanging="2"/>
        <w:spacing w:after="0" w:line="234"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MCM is the investment manager to Drawdown II, Global LP, Drawdown II SC, Drawdown III, DISL, SIF and certain accounts managed by MCM. Mr. Mudrick is the sole member of Mudrick GP, Drawdown II GP, Drawdown III GP, MCM GP, DISL GP and SIF GP. By virtue of these relationships, each of MCM, MCM GP and Mr. Mudrick may be deemed to beneficially own the securities held directly by Global LP, Drawdown II, Drawdown II SC, Drawdown III, DISL, SIF and certain accounts managed by MCM.</w:t>
      </w:r>
    </w:p>
    <w:p>
      <w:pPr>
        <w:spacing w:after="0" w:line="25" w:lineRule="exact"/>
        <w:rPr>
          <w:rFonts w:ascii="Times New Roman" w:cs="Times New Roman" w:eastAsia="Times New Roman" w:hAnsi="Times New Roman"/>
          <w:sz w:val="13"/>
          <w:szCs w:val="13"/>
          <w:color w:val="008000"/>
        </w:rPr>
      </w:pPr>
    </w:p>
    <w:p>
      <w:pPr>
        <w:ind w:left="20" w:right="100" w:hanging="2"/>
        <w:spacing w:after="0" w:line="231"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disclaim any beneficial ownership of the reported securities other than to the extent of any pecuniary interest they may have therein, directly or indirectly. Pursuant to Rule 16a-1(a)(4) under the Securities Exchange Act of 1934, as amended (the "Exchange Act"), this filing shall not be deemed an admission that the Reporting Persons are, for purposes of Section 16 of the Exchange Act or otherwise, the beneficial owners of any equity securities of the Issuer in excess of their respective pecuniary interests. The Reporting Persons are jointly filing this Form 4 pursuant to Rule 16a-3(j) under the Exchange Act. Exhibit List: Joint Filer Information. This filing shall not be deemed an admission that any of the Reporting Persons is subject to Section 16 of the Exchange Act.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3"/>
          <w:szCs w:val="13"/>
          <w:color w:val="008000"/>
        </w:rPr>
        <w:t>Exhibit 99.1 (Joint Filer Information) is incorporated herein by reference. This Form 4 is the second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Mudrick Capital Management, L.P.</w:t>
      </w:r>
    </w:p>
    <w:p>
      <w:pPr>
        <w:spacing w:after="0" w:line="43"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 Exhibit 99.1**</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06/16/2026</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60" w:hanging="2"/>
        <w:spacing w:after="0" w:line="356"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202" w:right="519" w:bottom="285" w:gutter="0" w:footer="0" w:header="0"/>
        </w:sectPr>
      </w:pPr>
    </w:p>
    <w:bookmarkStart w:id="2" w:name="page3"/>
    <w:bookmarkEnd w:id="2"/>
    <w:p>
      <w:pPr>
        <w:ind w:left="994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22"/>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Capital Management, L.P.</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w w:val="99"/>
              </w:rPr>
              <w:t>Mudrick Capital Management, LLC, its general partner</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18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7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18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1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18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10" w:right="4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LLC</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Capital Management, LLC</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Jason Mudrick</w:t>
            </w:r>
          </w:p>
        </w:tc>
      </w:tr>
      <w:tr>
        <w:trPr>
          <w:trHeight w:val="422"/>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440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440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6580" w:type="dxa"/>
            <w:vAlign w:val="bottom"/>
          </w:tcPr>
          <w:p>
            <w:pPr>
              <w:spacing w:after="0"/>
              <w:rPr>
                <w:sz w:val="24"/>
                <w:szCs w:val="24"/>
                <w:color w:val="auto"/>
              </w:rPr>
            </w:pP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6580" w:type="dxa"/>
            <w:vAlign w:val="bottom"/>
          </w:tcPr>
          <w:p>
            <w:pPr>
              <w:spacing w:after="0"/>
              <w:rPr>
                <w:sz w:val="24"/>
                <w:szCs w:val="24"/>
                <w:color w:val="auto"/>
              </w:rPr>
            </w:pPr>
          </w:p>
        </w:tc>
      </w:tr>
      <w:tr>
        <w:trPr>
          <w:trHeight w:val="40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6580" w:type="dxa"/>
            <w:vAlign w:val="bottom"/>
          </w:tcPr>
          <w:p>
            <w:pPr>
              <w:spacing w:after="0"/>
              <w:rPr>
                <w:sz w:val="24"/>
                <w:szCs w:val="24"/>
                <w:color w:val="auto"/>
              </w:rPr>
            </w:pPr>
          </w:p>
        </w:tc>
      </w:tr>
      <w:tr>
        <w:trPr>
          <w:trHeight w:val="183"/>
        </w:trPr>
        <w:tc>
          <w:tcPr>
            <w:tcW w:w="44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Jason Mudrick</w:t>
            </w:r>
          </w:p>
        </w:tc>
        <w:tc>
          <w:tcPr>
            <w:tcW w:w="6580" w:type="dxa"/>
            <w:vAlign w:val="bottom"/>
          </w:tcPr>
          <w:p>
            <w:pPr>
              <w:spacing w:after="0"/>
              <w:rPr>
                <w:sz w:val="15"/>
                <w:szCs w:val="15"/>
                <w:color w:val="auto"/>
              </w:rPr>
            </w:pPr>
          </w:p>
        </w:tc>
      </w:tr>
      <w:tr>
        <w:trPr>
          <w:trHeight w:val="217"/>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6580" w:type="dxa"/>
            <w:vAlign w:val="bottom"/>
          </w:tcPr>
          <w:p>
            <w:pPr>
              <w:spacing w:after="0"/>
              <w:rPr>
                <w:sz w:val="18"/>
                <w:szCs w:val="18"/>
                <w:color w:val="auto"/>
              </w:rPr>
            </w:pPr>
          </w:p>
        </w:tc>
      </w:tr>
      <w:tr>
        <w:trPr>
          <w:trHeight w:val="651"/>
        </w:trPr>
        <w:tc>
          <w:tcPr>
            <w:tcW w:w="44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8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Mudrick Distressed Opportunity Drawdown Fund III, L.P.</w:t>
            </w: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3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3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III, L.P.</w:t>
            </w:r>
          </w:p>
        </w:tc>
        <w:tc>
          <w:tcPr>
            <w:tcW w:w="13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6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3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5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3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3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3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Mudrick Distressed Opportunity Drawdown Fund III GP, LLC</w:t>
            </w:r>
          </w:p>
        </w:tc>
      </w:tr>
      <w:tr>
        <w:trPr>
          <w:trHeight w:val="422"/>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Mudrick Distressed Opportunity Drawdown Fund III, GP, LLC</w:t>
            </w: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0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7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0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0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0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Distressed Opportunity SIF Master Fund, L.P.</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SIF Master Fund, L.P.</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SIF GP, LLC, its general partner</w:t>
            </w: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Matthew Pietroforte</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62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Matthew Pietroforte</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Matthew Pietroforte</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Distressed Opportunity SIF GP, LLC</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SIF GP, LLC.</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Distressed Opportunity Drawdown Fund II SC, L.P.</w:t>
            </w:r>
          </w:p>
        </w:tc>
      </w:tr>
      <w:tr>
        <w:trPr>
          <w:trHeight w:val="422"/>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SC, L.P.</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GP, LLC, its general</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6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7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Mudrick Distressed Opportunity Drawdown Fund II GP, LLC</w:t>
            </w:r>
          </w:p>
        </w:tc>
      </w:tr>
      <w:tr>
        <w:trPr>
          <w:trHeight w:val="422"/>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GP, LLC</w:t>
            </w:r>
          </w:p>
        </w:tc>
        <w:tc>
          <w:tcPr>
            <w:tcW w:w="12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4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4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4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Mudrick Distressed Opportunity Drawdown Fund II, L.P.</w:t>
            </w:r>
          </w:p>
        </w:tc>
      </w:tr>
      <w:tr>
        <w:trPr>
          <w:trHeight w:val="42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L.P.</w:t>
            </w: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GP, LLC, its general</w:t>
            </w:r>
          </w:p>
        </w:tc>
      </w:tr>
      <w:tr>
        <w:trPr>
          <w:trHeight w:val="217"/>
        </w:trPr>
        <w:tc>
          <w:tcPr>
            <w:tcW w:w="5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c>
          <w:tcPr>
            <w:tcW w:w="138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38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38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3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38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Distressed Opportunity 2020 Dislocation Fund, L.P.</w:t>
            </w:r>
          </w:p>
        </w:tc>
      </w:tr>
      <w:tr>
        <w:trPr>
          <w:trHeight w:val="422"/>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2020 Dislocation Fund, L.P.</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2020 Dislocation Fund GP, LLC, its</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6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Mudrick Distressed Opportunity 2020 Dislocation Fund GP, LLC</w:t>
            </w:r>
          </w:p>
        </w:tc>
      </w:tr>
      <w:tr>
        <w:trPr>
          <w:trHeight w:val="422"/>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Mudrick Distressed Opportunity 2020 Dislocation Fund GP, LLC</w:t>
            </w:r>
          </w:p>
        </w:tc>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12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12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1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1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Distressed Opportunity Fund Global, L.P.</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Fund Global, L.P.</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Mudrick GP, LLC its general partner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GP, LLC</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GP, LLC</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8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3" Type="http://schemas.openxmlformats.org/officeDocument/2006/relationships/hyperlink" Target="http://www.sec.gov/cgi-bin/browse-edgar?action=getcompany&amp;CIK=0001655183" TargetMode="External"/><Relationship Id="rId14" Type="http://schemas.openxmlformats.org/officeDocument/2006/relationships/hyperlink" Target="http://www.sec.gov/cgi-bin/browse-edgar?action=getcompany&amp;CIK=0001580864" TargetMode="External"/><Relationship Id="rId15" Type="http://schemas.openxmlformats.org/officeDocument/2006/relationships/hyperlink" Target="http://www.sec.gov/cgi-bin/browse-edgar?action=getcompany&amp;CIK=0001763080" TargetMode="External"/><Relationship Id="rId17" Type="http://schemas.openxmlformats.org/officeDocument/2006/relationships/hyperlink" Target="http://www.sec.gov/cgi-bin/browse-edgar?action=getcompany&amp;CIK=0001860577" TargetMode="External"/><Relationship Id="rId19" Type="http://schemas.openxmlformats.org/officeDocument/2006/relationships/hyperlink" Target="http://www.sec.gov/cgi-bin/browse-edgar?action=getcompany&amp;CIK=0001959099" TargetMode="External"/><Relationship Id="rId20" Type="http://schemas.openxmlformats.org/officeDocument/2006/relationships/hyperlink" Target="http://www.sec.gov/cgi-bin/browse-edgar?action=getcompany&amp;CIK=0001813628" TargetMode="External"/><Relationship Id="rId21" Type="http://schemas.openxmlformats.org/officeDocument/2006/relationships/hyperlink" Target="http://www.sec.gov/cgi-bin/browse-edgar?action=getcompany&amp;CIK=0001656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2026-06-16T20:29:12Z</dcterms:created>
  <dcterms:modified xsi:type="dcterms:W3CDTF">2026-06-16T20:29:12Z</dcterms:modified>
</cp:coreProperties>
</file>