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rm-20250930.htm"/>
        <w:bookmarkStart w:id="1" w:name="ksvrm202509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September 30, 2025</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4700 Mercantile Dr.</w:t>
      </w:r>
    </w:p>
    <w:p>
      <w:pPr>
        <w:pStyle w:val="TextBody"/>
        <w:bidi w:val="0"/>
        <w:jc w:val="center"/>
        <w:rPr>
          <w:rFonts w:ascii="Times New Roman" w:hAnsi="Times New Roman"/>
          <w:sz w:val="20"/>
        </w:rPr>
      </w:pPr>
      <w:r>
        <w:rPr>
          <w:rFonts w:ascii="Arial" w:hAnsi="Arial"/>
          <w:b/>
          <w:color w:val="000000"/>
          <w:sz w:val="16"/>
        </w:rPr>
        <w:t>Fort Worth, TX</w:t>
      </w:r>
      <w:r>
        <w:rPr>
          <w:rFonts w:ascii="Times New Roman" w:hAnsi="Times New Roman"/>
          <w:color w:val="000000"/>
          <w:sz w:val="20"/>
        </w:rPr>
        <w:t xml:space="preserve"> </w:t>
      </w:r>
      <w:r>
        <w:rPr>
          <w:rFonts w:ascii="Arial" w:hAnsi="Arial"/>
          <w:b/>
          <w:color w:val="000000"/>
          <w:sz w:val="16"/>
        </w:rPr>
        <w:t>76137</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Common Stock, $0.001 par value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VRM</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Arial" w:hAnsi="Arial"/>
                <w:color w:val="000000"/>
                <w:sz w:val="18"/>
              </w:rPr>
              <w:t>Nasdaq</w:t>
            </w:r>
            <w:r>
              <w:rPr>
                <w:rFonts w:ascii="Times New Roman" w:hAnsi="Times New Roman"/>
                <w:color w:val="000000"/>
                <w:sz w:val="20"/>
              </w:rPr>
              <w:t> </w:t>
            </w:r>
            <w:r>
              <w:rPr>
                <w:rFonts w:ascii="Arial" w:hAnsi="Arial"/>
                <w:color w:val="000000"/>
                <w:sz w:val="18"/>
              </w:rPr>
              <w:t>Global Market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As of November 6, 2025, </w:t>
      </w:r>
      <w:r>
        <w:rPr>
          <w:rFonts w:ascii="Arial" w:hAnsi="Arial"/>
          <w:color w:val="222222"/>
          <w:sz w:val="18"/>
        </w:rPr>
        <w:t>5,199,620</w:t>
      </w:r>
      <w:r>
        <w:rPr>
          <w:rFonts w:ascii="Times New Roman" w:hAnsi="Times New Roman"/>
          <w:color w:val="000000"/>
          <w:sz w:val="20"/>
        </w:rPr>
        <w:t xml:space="preserve"> </w:t>
      </w:r>
      <w:r>
        <w:rPr>
          <w:rFonts w:ascii="Arial" w:hAnsi="Arial"/>
          <w:color w:val="000000"/>
          <w:sz w:val="18"/>
        </w:rPr>
        <w:t>shares of the registrants’ common stock were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2"/>
        <w:gridCol w:w="8836"/>
        <w:gridCol w:w="617"/>
      </w:tblGrid>
      <w:tr>
        <w:trPr/>
        <w:tc>
          <w:tcPr>
            <w:tcW w:w="752" w:type="dxa"/>
            <w:tcBorders/>
            <w:vAlign w:val="center"/>
          </w:tcPr>
          <w:p>
            <w:pPr>
              <w:pStyle w:val="TableContents"/>
              <w:bidi w:val="0"/>
              <w:spacing w:before="0" w:after="283"/>
              <w:jc w:val="left"/>
              <w:rPr>
                <w:sz w:val="4"/>
                <w:szCs w:val="4"/>
              </w:rPr>
            </w:pPr>
            <w:r>
              <w:rPr>
                <w:sz w:val="4"/>
                <w:szCs w:val="4"/>
              </w:rPr>
            </w:r>
          </w:p>
        </w:tc>
        <w:tc>
          <w:tcPr>
            <w:tcW w:w="88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Arial" w:hAnsi="Arial"/>
                  <w:color w:val="0000FF"/>
                  <w:sz w:val="20"/>
                  <w:u w:val="single"/>
                </w:rPr>
                <w:t>Part I - Financial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Arial" w:hAnsi="Arial"/>
                  <w:color w:val="0000FF"/>
                  <w:sz w:val="20"/>
                  <w:u w:val="single"/>
                </w:rPr>
                <w:t>Financial Statements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Arial" w:hAnsi="Arial"/>
                  <w:color w:val="0000FF"/>
                  <w:sz w:val="20"/>
                  <w:u w:val="single"/>
                </w:rPr>
                <w:t>Condensed Consolidated Balance Sheets as of September 30, 2025 and December 31,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Arial" w:hAnsi="Arial"/>
                  <w:color w:val="0000FF"/>
                  <w:sz w:val="20"/>
                  <w:u w:val="single"/>
                </w:rPr>
                <w:t>Condensed Consolidated Statements of Operations for the Three and Nine Months Ended September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u w:val="single"/>
                </w:rPr>
                <w:t>Condensed Consolidated Statements of Changes in Stockholders' Equity for the Nine Months Ended September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scf">
              <w:r>
                <w:rPr>
                  <w:rStyle w:val="InternetLink"/>
                  <w:rFonts w:ascii="Arial" w:hAnsi="Arial"/>
                  <w:color w:val="0000FF"/>
                  <w:sz w:val="20"/>
                  <w:u w:val="single"/>
                </w:rPr>
                <w:t>Condensed Consolidated Statements of Cash Flows for the Nine Months Ended September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Arial" w:hAnsi="Arial"/>
                  <w:color w:val="0000FF"/>
                  <w:sz w:val="20"/>
                  <w:u w:val="single"/>
                </w:rPr>
                <w:t>Notes to Condensed Consolidated Financial Statements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3.</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qualitative_quantitative_disclosure">
              <w:r>
                <w:rPr>
                  <w:rStyle w:val="InternetLink"/>
                  <w:rFonts w:ascii="Arial" w:hAnsi="Arial"/>
                  <w:color w:val="0000FF"/>
                  <w:sz w:val="20"/>
                  <w:u w:val="single"/>
                </w:rPr>
                <w:t>Quantitative and Qualitative Disclosures About Market Risk</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controls_procedures">
              <w:r>
                <w:rPr>
                  <w:rStyle w:val="InternetLink"/>
                  <w:rFonts w:ascii="Arial" w:hAnsi="Arial"/>
                  <w:color w:val="0000FF"/>
                  <w:sz w:val="20"/>
                  <w:u w:val="single"/>
                </w:rPr>
                <w:t>Controls and Procedures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u w:val="single"/>
                </w:rPr>
                <w:t>Part II - 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1A.</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Item 3.</w:t>
            </w:r>
            <w:r>
              <w:rPr>
                <w:rFonts w:ascii="Times New Roman" w:hAnsi="Times New Roman"/>
                <w:color w:val="000000"/>
                <w:sz w:val="20"/>
              </w:rPr>
              <w:t xml:space="preserve">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defaults_senior_securities">
              <w:r>
                <w:rPr>
                  <w:rStyle w:val="InternetLink"/>
                  <w:rFonts w:ascii="Arial" w:hAnsi="Arial"/>
                  <w:color w:val="0000FF"/>
                  <w:sz w:val="20"/>
                  <w:u w:val="single"/>
                </w:rPr>
                <w:t>Defaults Upon Senior Securities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mine_safety">
              <w:r>
                <w:rPr>
                  <w:rStyle w:val="InternetLink"/>
                  <w:rFonts w:ascii="Arial" w:hAnsi="Arial"/>
                  <w:color w:val="0000FF"/>
                  <w:sz w:val="20"/>
                  <w:u w:val="single"/>
                </w:rPr>
                <w:t>Mine Safety Disclosures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5.</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75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6.</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exhibits_and_financial_statement_schedul">
              <w:r>
                <w:rPr>
                  <w:rStyle w:val="InternetLink"/>
                  <w:rFonts w:ascii="Arial" w:hAnsi="Arial"/>
                  <w:color w:val="0000FF"/>
                  <w:sz w:val="20"/>
                  <w:u w:val="single"/>
                </w:rPr>
                <w:t>Exhibits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c>
          <w:tcPr>
            <w:tcW w:w="8836"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Arial" w:hAnsi="Arial"/>
                  <w:color w:val="0000FF"/>
                  <w:sz w:val="20"/>
                  <w:u w:val="single"/>
                </w:rPr>
                <w:t>Signatures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impact of macroeconomic and geopolitical factors including tariffs and other trade restrictions, the impact of the Prepackaged Chapter 11 Case (as defined herein), our ability to continue as a going concern, our future results of operations and financial condition, business strategy, and plans and objectives of management for future operations, including our Value Maximization Plan (as defined herein) the ongoing activities of and potential growth of our UACC and CarStory businesses, our Long-Term Strategic Plan (as defined herein), including our base, growth, and aggressive growth models, our ongoing compliance with, the amendment and renewal of the Warehouse Credit Facilities (as defined herein), and the timing of any of the foregoing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target," "will,"</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Times New Roman" w:hAnsi="Times New Roman"/>
          <w:sz w:val="20"/>
        </w:rPr>
      </w:pPr>
      <w:r>
        <w:rPr>
          <w:rFonts w:ascii="Arial" w:hAnsi="Arial"/>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recently emerged from the Prepackaged Chapter 11 Case, which could adversely affect our business and relationships, and subject us to risks and uncertainties;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risks associated with the discontinuance of our ecommerce operations and wind-down of our used vehicle dealership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Long-Term Strategic Plan may not be successful, and may not lead to growth and enhanced profitability for our UACC or CarStory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generate sufficient liquidity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business and economic conditions and risks related to the larger automotive ecosystem, including consumer demand;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a history of losses and we may not achieve or maintain profitability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satisfy a Nasdaq listing rule or that of another national securities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may be unable to continue to access or renew funding sources and obtain capital needed to maintain and grow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UACC loses servicing rights on its automobile contracts, our results of operations would be negatively impacted;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in a highly regulated industry and are subject to a wide range of federal, state and local laws and regulations, and failure to comply with these laws and regulations could have a material adverse effect on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actual operating results may differ significantly from our guidance;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risks described in the section titled "Risk Factors" in our Annual Report on Form 10-K for the year ended December 31, 2024.</w:t>
      </w:r>
    </w:p>
    <w:p>
      <w:pPr>
        <w:pStyle w:val="TextBody"/>
        <w:bidi w:val="0"/>
        <w:spacing w:before="240" w:after="283"/>
        <w:jc w:val="left"/>
        <w:rPr>
          <w:rFonts w:ascii="Arial" w:hAnsi="Arial"/>
          <w:color w:val="000000"/>
          <w:sz w:val="20"/>
        </w:rPr>
      </w:pPr>
      <w:r>
        <w:rPr>
          <w:rFonts w:ascii="Arial" w:hAnsi="Arial"/>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color w:val="000000"/>
          <w:sz w:val="20"/>
        </w:rPr>
      </w:pPr>
      <w:r>
        <w:rPr>
          <w:rFonts w:ascii="Arial" w:hAnsi="Arial"/>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Times New Roman" w:hAnsi="Times New Roman"/>
          <w:sz w:val="20"/>
        </w:rPr>
      </w:pPr>
      <w:bookmarkStart w:id="5" w:name="balance_sheet"/>
      <w:bookmarkEnd w:id="5"/>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4"/>
        <w:gridCol w:w="146"/>
        <w:gridCol w:w="223"/>
        <w:gridCol w:w="829"/>
        <w:gridCol w:w="166"/>
        <w:gridCol w:w="146"/>
        <w:gridCol w:w="146"/>
        <w:gridCol w:w="211"/>
        <w:gridCol w:w="991"/>
        <w:gridCol w:w="213"/>
      </w:tblGrid>
      <w:tr>
        <w:trPr/>
        <w:tc>
          <w:tcPr>
            <w:tcW w:w="7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29,343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Restricted cash (including restricted cash of consolidated VIEs of $54.3</w:t>
            </w:r>
            <w:r>
              <w:rPr>
                <w:rFonts w:ascii="Times New Roman" w:hAnsi="Times New Roman"/>
                <w:color w:val="000000"/>
                <w:sz w:val="20"/>
              </w:rPr>
              <w:t> </w:t>
            </w:r>
            <w:r>
              <w:rPr>
                <w:rFonts w:ascii="Arial" w:hAnsi="Arial"/>
                <w:color w:val="000000"/>
                <w:sz w:val="18"/>
              </w:rPr>
              <w:t>million and $48.1</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at fair value (including finance receivables of consolidated VIEs of $794.6</w:t>
            </w:r>
            <w:r>
              <w:rPr>
                <w:rFonts w:ascii="Times New Roman" w:hAnsi="Times New Roman"/>
                <w:color w:val="000000"/>
                <w:sz w:val="20"/>
              </w:rPr>
              <w:t> </w:t>
            </w:r>
            <w:r>
              <w:rPr>
                <w:rFonts w:ascii="Arial" w:hAnsi="Arial"/>
                <w:color w:val="000000"/>
                <w:sz w:val="18"/>
              </w:rPr>
              <w:t>million and $467.3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503,848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held for sale, net (including finance receivables of consolidated VIEs of $0.0</w:t>
            </w:r>
            <w:r>
              <w:rPr>
                <w:rFonts w:ascii="Times New Roman" w:hAnsi="Times New Roman"/>
                <w:color w:val="000000"/>
                <w:sz w:val="20"/>
              </w:rPr>
              <w:t> </w:t>
            </w:r>
            <w:r>
              <w:rPr>
                <w:rFonts w:ascii="Arial" w:hAnsi="Arial"/>
                <w:color w:val="000000"/>
                <w:sz w:val="18"/>
              </w:rPr>
              <w:t>and $310.0</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318,192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Interest receivable (including interest receivables of consolidated VIEs of $12.5</w:t>
            </w:r>
            <w:r>
              <w:rPr>
                <w:rFonts w:ascii="Times New Roman" w:hAnsi="Times New Roman"/>
                <w:color w:val="000000"/>
                <w:sz w:val="20"/>
              </w:rPr>
              <w:t> </w:t>
            </w:r>
            <w:r>
              <w:rPr>
                <w:rFonts w:ascii="Arial" w:hAnsi="Arial"/>
                <w:color w:val="000000"/>
                <w:sz w:val="18"/>
              </w:rPr>
              <w:t>million and $13.3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$11.6</w:t>
            </w:r>
            <w:r>
              <w:rPr>
                <w:rFonts w:ascii="Times New Roman" w:hAnsi="Times New Roman"/>
                <w:color w:val="000000"/>
                <w:sz w:val="20"/>
              </w:rPr>
              <w:t> </w:t>
            </w:r>
            <w:r>
              <w:rPr>
                <w:rFonts w:ascii="Arial" w:hAnsi="Arial"/>
                <w:color w:val="000000"/>
                <w:sz w:val="18"/>
              </w:rPr>
              <w:t>million and $10.8</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949,188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1,066,696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359,912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Long-term debt (including securitization debt of consolidated VIEs of $458.9</w:t>
            </w:r>
            <w:r>
              <w:rPr>
                <w:rFonts w:ascii="Times New Roman" w:hAnsi="Times New Roman"/>
                <w:color w:val="000000"/>
                <w:sz w:val="20"/>
              </w:rPr>
              <w:t> </w:t>
            </w:r>
            <w:r>
              <w:rPr>
                <w:rFonts w:ascii="Arial" w:hAnsi="Arial"/>
                <w:color w:val="000000"/>
                <w:sz w:val="18"/>
              </w:rPr>
              <w:t>million at fair value as of September 30, 2025 and $210.7</w:t>
            </w:r>
            <w:r>
              <w:rPr>
                <w:rFonts w:ascii="Times New Roman" w:hAnsi="Times New Roman"/>
                <w:color w:val="000000"/>
                <w:sz w:val="20"/>
              </w:rPr>
              <w:t> </w:t>
            </w:r>
            <w:r>
              <w:rPr>
                <w:rFonts w:ascii="Arial" w:hAnsi="Arial"/>
                <w:color w:val="000000"/>
                <w:sz w:val="18"/>
              </w:rPr>
              <w:t>million at amortized cost and $142.6</w:t>
            </w:r>
            <w:r>
              <w:rPr>
                <w:rFonts w:ascii="Times New Roman" w:hAnsi="Times New Roman"/>
                <w:color w:val="000000"/>
                <w:sz w:val="20"/>
              </w:rPr>
              <w:t> </w:t>
            </w:r>
            <w:r>
              <w:rPr>
                <w:rFonts w:ascii="Arial" w:hAnsi="Arial"/>
                <w:color w:val="000000"/>
                <w:sz w:val="18"/>
              </w:rPr>
              <w:t>million at 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Related party note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liabilities (including other liabilities of consolidated VIEs of $16.5</w:t>
            </w:r>
            <w:r>
              <w:rPr>
                <w:rFonts w:ascii="Times New Roman" w:hAnsi="Times New Roman"/>
                <w:color w:val="000000"/>
                <w:sz w:val="20"/>
              </w:rPr>
              <w:t> </w:t>
            </w:r>
            <w:r>
              <w:rPr>
                <w:rFonts w:ascii="Arial" w:hAnsi="Arial"/>
                <w:color w:val="000000"/>
                <w:sz w:val="18"/>
              </w:rPr>
              <w:t>million and $13.8</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291,577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1,097,641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250,000,000</w:t>
            </w:r>
            <w:r>
              <w:rPr>
                <w:rFonts w:ascii="Times New Roman" w:hAnsi="Times New Roman"/>
                <w:color w:val="000000"/>
                <w:sz w:val="20"/>
              </w:rPr>
              <w:t> </w:t>
            </w:r>
            <w:r>
              <w:rPr>
                <w:rFonts w:ascii="Arial" w:hAnsi="Arial"/>
                <w:color w:val="000000"/>
                <w:sz w:val="18"/>
              </w:rPr>
              <w:t>shares authorized as of September 30, 2025 and 500,000,000</w:t>
            </w:r>
            <w:r>
              <w:rPr>
                <w:rFonts w:ascii="Times New Roman" w:hAnsi="Times New Roman"/>
                <w:color w:val="000000"/>
                <w:sz w:val="20"/>
              </w:rPr>
              <w:t> </w:t>
            </w:r>
            <w:r>
              <w:rPr>
                <w:rFonts w:ascii="Arial" w:hAnsi="Arial"/>
                <w:color w:val="000000"/>
                <w:sz w:val="18"/>
              </w:rPr>
              <w:t>shares authorized as of December 31, 2024; 5,199,599</w:t>
            </w:r>
            <w:r>
              <w:rPr>
                <w:rFonts w:ascii="Times New Roman" w:hAnsi="Times New Roman"/>
                <w:color w:val="000000"/>
                <w:sz w:val="20"/>
              </w:rPr>
              <w:t> </w:t>
            </w:r>
            <w:r>
              <w:rPr>
                <w:rFonts w:ascii="Arial" w:hAnsi="Arial"/>
                <w:color w:val="000000"/>
                <w:sz w:val="18"/>
              </w:rPr>
              <w:t>and 1,822,532</w:t>
            </w:r>
            <w:r>
              <w:rPr>
                <w:rFonts w:ascii="Times New Roman" w:hAnsi="Times New Roman"/>
                <w:color w:val="000000"/>
                <w:sz w:val="20"/>
              </w:rPr>
              <w:t> </w:t>
            </w:r>
            <w:r>
              <w:rPr>
                <w:rFonts w:ascii="Arial" w:hAnsi="Arial"/>
                <w:color w:val="000000"/>
                <w:sz w:val="18"/>
              </w:rPr>
              <w:t>shares issued and outstanding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2,094,889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(2,125,836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(30,945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949,188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1,066,696</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93"/>
        <w:gridCol w:w="146"/>
        <w:gridCol w:w="341"/>
        <w:gridCol w:w="1506"/>
        <w:gridCol w:w="166"/>
        <w:gridCol w:w="146"/>
        <w:gridCol w:w="146"/>
        <w:gridCol w:w="341"/>
        <w:gridCol w:w="1506"/>
        <w:gridCol w:w="314"/>
      </w:tblGrid>
      <w:tr>
        <w:trPr/>
        <w:tc>
          <w:tcPr>
            <w:tcW w:w="5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(37,620</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income (loss)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5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1,807,398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 (continued)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7"/>
        <w:gridCol w:w="443"/>
        <w:gridCol w:w="1642"/>
        <w:gridCol w:w="166"/>
        <w:gridCol w:w="146"/>
        <w:gridCol w:w="146"/>
        <w:gridCol w:w="451"/>
        <w:gridCol w:w="1447"/>
        <w:gridCol w:w="166"/>
        <w:gridCol w:w="146"/>
        <w:gridCol w:w="259"/>
        <w:gridCol w:w="1032"/>
        <w:gridCol w:w="314"/>
      </w:tblGrid>
      <w:tr>
        <w:trPr/>
        <w:tc>
          <w:tcPr>
            <w:tcW w:w="384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reorganization items and provision for income taxes</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Reorganization items, net</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income taxes from continuing operations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 (loss) from discontinued operations</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(27,024</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(128,550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 (continued)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4"/>
        <w:gridCol w:w="344"/>
        <w:gridCol w:w="1520"/>
        <w:gridCol w:w="166"/>
        <w:gridCol w:w="146"/>
        <w:gridCol w:w="146"/>
        <w:gridCol w:w="328"/>
        <w:gridCol w:w="1450"/>
        <w:gridCol w:w="166"/>
        <w:gridCol w:w="146"/>
        <w:gridCol w:w="237"/>
        <w:gridCol w:w="1047"/>
        <w:gridCol w:w="315"/>
      </w:tblGrid>
      <w:tr>
        <w:trPr/>
        <w:tc>
          <w:tcPr>
            <w:tcW w:w="41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basic:</w:t>
            </w:r>
          </w:p>
        </w:tc>
        <w:tc>
          <w:tcPr>
            <w:tcW w:w="18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(71.39</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diluted:</w:t>
            </w:r>
          </w:p>
        </w:tc>
        <w:tc>
          <w:tcPr>
            <w:tcW w:w="1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(56.38</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(71.39</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income per share attributable to common stockholders:</w:t>
            </w:r>
          </w:p>
        </w:tc>
        <w:tc>
          <w:tcPr>
            <w:tcW w:w="1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1,800,729</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1,800,729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See accompanying notes to these unaudited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stockholders_equity"/>
      <w:bookmarkEnd w:id="7"/>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CHANGES IN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57"/>
        <w:gridCol w:w="146"/>
        <w:gridCol w:w="146"/>
        <w:gridCol w:w="991"/>
        <w:gridCol w:w="166"/>
        <w:gridCol w:w="146"/>
        <w:gridCol w:w="284"/>
        <w:gridCol w:w="467"/>
        <w:gridCol w:w="166"/>
        <w:gridCol w:w="146"/>
        <w:gridCol w:w="216"/>
        <w:gridCol w:w="1018"/>
        <w:gridCol w:w="166"/>
        <w:gridCol w:w="146"/>
        <w:gridCol w:w="261"/>
        <w:gridCol w:w="1227"/>
        <w:gridCol w:w="166"/>
        <w:gridCol w:w="146"/>
        <w:gridCol w:w="260"/>
        <w:gridCol w:w="970"/>
        <w:gridCol w:w="214"/>
      </w:tblGrid>
      <w:tr>
        <w:trPr/>
        <w:tc>
          <w:tcPr>
            <w:tcW w:w="2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2023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1,791,286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61,487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43,142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September 30,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1,808,243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2,093,941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(30,945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Elimination of Predecessor equity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14, 2025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15,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5,183,023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158,627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151,944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September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57"/>
        <w:gridCol w:w="146"/>
        <w:gridCol w:w="457"/>
        <w:gridCol w:w="1764"/>
        <w:gridCol w:w="166"/>
        <w:gridCol w:w="146"/>
        <w:gridCol w:w="146"/>
        <w:gridCol w:w="462"/>
        <w:gridCol w:w="1561"/>
        <w:gridCol w:w="166"/>
        <w:gridCol w:w="146"/>
        <w:gridCol w:w="262"/>
        <w:gridCol w:w="1011"/>
        <w:gridCol w:w="315"/>
      </w:tblGrid>
      <w:tr>
        <w:trPr/>
        <w:tc>
          <w:tcPr>
            <w:tcW w:w="3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(101,526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Profit share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10,899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21,963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96,556</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to record finance receivables held for sale at lower of cost or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(12,674</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(322,967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133,920</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(8,197</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(154,154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operating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79,257</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(74,897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Purchases of finance receivables, held for investment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92,217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1,953</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92,059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15,908</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107,967</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296,145</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(194,746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15,821</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(9,958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257,200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(356,656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issuance of related party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7,450</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financing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(151,178</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(143,728</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(110,658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208,819</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98,161</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i/>
          <w:color w:val="000000"/>
          <w:sz w:val="20"/>
        </w:rPr>
        <w:t>(Continued on following page)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7509" w:type="dxa"/>
        <w:jc w:val="left"/>
        <w:tblInd w:w="0" w:type="dxa"/>
        <w:tblLayout w:type="fixed"/>
        <w:tblCellMar>
          <w:top w:w="28" w:type="dxa"/>
          <w:left w:w="28" w:type="dxa"/>
          <w:bottom w:w="28" w:type="dxa"/>
          <w:right w:w="28" w:type="dxa"/>
        </w:tblCellMar>
      </w:tblPr>
      <w:tblGrid>
        <w:gridCol w:w="4141"/>
        <w:gridCol w:w="146"/>
        <w:gridCol w:w="196"/>
        <w:gridCol w:w="601"/>
        <w:gridCol w:w="146"/>
        <w:gridCol w:w="146"/>
        <w:gridCol w:w="146"/>
        <w:gridCol w:w="196"/>
        <w:gridCol w:w="511"/>
        <w:gridCol w:w="146"/>
        <w:gridCol w:w="146"/>
        <w:gridCol w:w="196"/>
        <w:gridCol w:w="60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 Inc. is a holding company that conducts its operations through its subsidiaries. Unless the context otherwise requires, references herein to “Vroom”, the "Company”, “we”, “us” or “our” refer to Vroom and its consolidated subsidiaries.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incorporated in Delaware on January 31, 2012, under the name BCM Partners III, Corp. On June 25, 2013, the Company changed its name to Auto America, Inc., and on July 9, 2015, the Company changed its name to Vroom, Inc.</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In January 2021, the Company completed the acquisition of Vast Holdings, Inc. (d/b/a CarStory)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UACC, a leading automotive finance company, offers vehicle financing to consumers through third-party dealers under the UACC brand, and CarStory, is an AI-powered analytics and digital services platform for automotive retail. The UACC and CarStory businesses continue to serve their third-party customers, with their operations substantially unaffected by the Ecommerce Wind-Down (as defined herein).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previously operated an end-to-end ecommerce platform to buy and sell used vehicles through its subsidiary Vroom Automotive, LLC. On January 22, 2024, the Company announced that its Board of Directors (“Board”) had approved a value maximization plan, pursuant to which the Company wound down its used vehicle dealership business in order to preserve liquidity and enable the Company to maximize stakeholder value through its remaining businesses (the “Value Maximization Plan”). As of March 29, 2024, the Company substantially completed the wind-down of its ecommerce operations and used vehicle dealership business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w:t>
      </w:r>
      <w:r>
        <w:rPr>
          <w:rFonts w:ascii="Times New Roman" w:hAnsi="Times New Roman"/>
          <w:color w:val="000000"/>
          <w:sz w:val="20"/>
        </w:rPr>
        <w:t xml:space="preserve"> </w:t>
      </w:r>
      <w:r>
        <w:rPr>
          <w:rFonts w:ascii="Arial" w:hAnsi="Arial"/>
          <w:color w:val="000000"/>
          <w:sz w:val="20"/>
        </w:rPr>
        <w:t>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16 — Segment Information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Prepackaged Chapter 11 Case</w:t>
      </w:r>
    </w:p>
    <w:p>
      <w:pPr>
        <w:pStyle w:val="TextBody"/>
        <w:bidi w:val="0"/>
        <w:jc w:val="left"/>
        <w:rPr>
          <w:rFonts w:ascii="Times New Roman" w:hAnsi="Times New Roman"/>
          <w:sz w:val="20"/>
        </w:rPr>
      </w:pPr>
      <w:r>
        <w:rPr>
          <w:rFonts w:ascii="Arial" w:hAnsi="Arial"/>
          <w:color w:val="000000"/>
          <w:sz w:val="20"/>
        </w:rPr>
        <w:t>On November 12, 2024, the Company (in the context of the Prepackaged Chapter 11 Case, the “Debtor”) entered into a Restructuring Support Agreement (together with all exhibits and schedules thereto, the “RSA”) with creditors holding the overwhelming majority of the aggregate outstanding principal amount of the 2026 Notes (as defined in Note 11 — Long Term Debt) and the largest shareholder. 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On November 13, 2024, the Company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“In re Vroom, Inc.” Case No. 24-90571 (CML). None of Vroom, Inc.’s subsidiaries were debtors in the Chapter 11 proceedings.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“Effective Date”), the conditions to the effectiveness of the Plan were satisfied or waived and the Plan became effective. The Company emerged from the Prepackaged Chapter 11 Case on January 14, 2025.</w:t>
      </w:r>
    </w:p>
    <w:p>
      <w:pPr>
        <w:pStyle w:val="TextBody"/>
        <w:bidi w:val="0"/>
        <w:jc w:val="left"/>
        <w:rPr>
          <w:rFonts w:ascii="Arial" w:hAnsi="Arial"/>
          <w:b/>
          <w:i/>
          <w:color w:val="000000"/>
          <w:sz w:val="20"/>
        </w:rPr>
      </w:pPr>
      <w:r>
        <w:rPr>
          <w:rFonts w:ascii="Arial" w:hAnsi="Arial"/>
          <w:b/>
          <w:i/>
          <w:color w:val="000000"/>
          <w:sz w:val="20"/>
        </w:rPr>
        <w:t>Conversion of Common Stock</w:t>
      </w:r>
    </w:p>
    <w:p>
      <w:pPr>
        <w:pStyle w:val="TextBody"/>
        <w:bidi w:val="0"/>
        <w:jc w:val="left"/>
        <w:rPr>
          <w:rFonts w:ascii="Times New Roman" w:hAnsi="Times New Roman"/>
          <w:sz w:val="20"/>
        </w:rPr>
      </w:pPr>
      <w:r>
        <w:rPr>
          <w:rFonts w:ascii="Arial" w:hAnsi="Arial"/>
          <w:color w:val="000000"/>
          <w:sz w:val="20"/>
        </w:rPr>
        <w:t>Immediately prior to the Effective Date, there were 1,822,577</w:t>
      </w:r>
      <w:r>
        <w:rPr>
          <w:rFonts w:ascii="Times New Roman" w:hAnsi="Times New Roman"/>
          <w:color w:val="000000"/>
          <w:sz w:val="20"/>
        </w:rPr>
        <w:t xml:space="preserve"> </w:t>
      </w:r>
      <w:r>
        <w:rPr>
          <w:rFonts w:ascii="Arial" w:hAnsi="Arial"/>
          <w:color w:val="000000"/>
          <w:sz w:val="20"/>
        </w:rPr>
        <w:t>outstanding shares of the Company’s common stock, $0.001</w:t>
      </w:r>
      <w:r>
        <w:rPr>
          <w:rFonts w:ascii="Times New Roman" w:hAnsi="Times New Roman"/>
          <w:color w:val="000000"/>
          <w:sz w:val="20"/>
        </w:rPr>
        <w:t xml:space="preserve"> </w:t>
      </w:r>
      <w:r>
        <w:rPr>
          <w:rFonts w:ascii="Arial" w:hAnsi="Arial"/>
          <w:color w:val="000000"/>
          <w:sz w:val="20"/>
        </w:rPr>
        <w:t>par value per share (the “Common Stock”).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newly issued Common Stock as of the Effective Date (the "New Common Stock").</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Warrants to Purchase New 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w:t>
      </w:r>
      <w:r>
        <w:rPr>
          <w:rFonts w:ascii="Times New Roman" w:hAnsi="Times New Roman"/>
          <w:color w:val="000000"/>
          <w:sz w:val="20"/>
        </w:rPr>
        <w:t xml:space="preserve"> </w:t>
      </w:r>
      <w:r>
        <w:rPr>
          <w:rFonts w:ascii="Arial" w:hAnsi="Arial"/>
          <w:color w:val="000000"/>
          <w:sz w:val="20"/>
        </w:rPr>
        <w:t>shares of the New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from the issuance date. On July 7, 2025, the Company's Warrants commenced trading on the OTCQX Best Market under the symbol "VRMWW".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above, the Company filed the Prepackaged Chapter 11 Case to implement the transactions described herein. As of January 14, 2025, the Company emerged from the Prepackaged Chapter 11 Case and continues to operate as a viable going concern.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twelve months following the issuance 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condensed consolidated financial statements of the Company have been prepared in accordance with U.S. generally accepted accounting principles (“U.S. GAAP”) and applicable rules and regulations of the U.S. Securities and Exchange Commission regarding interim financial reporting. The consolidated balance sheet as of December 31, 2024,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related notes included in the Annual Report on Form 10-K for the year ended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References to “Successor” relate to the Company's financial position and results of operations after the Effective Date. References to “Predecessor” refer to the Company's financial position and results of operations on or before the Effective Date. Refer to Note 6 — Fresh Start Accounting</w:t>
      </w:r>
      <w:r>
        <w:rPr>
          <w:rFonts w:ascii="Times New Roman" w:hAnsi="Times New Roman"/>
          <w:color w:val="000000"/>
          <w:sz w:val="20"/>
        </w:rPr>
        <w:t xml:space="preserve"> </w:t>
      </w:r>
      <w:r>
        <w:rPr>
          <w:rFonts w:ascii="Arial" w:hAnsi="Arial"/>
          <w:color w:val="000000"/>
          <w:sz w:val="20"/>
        </w:rPr>
        <w:t>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September 30, 2025, and its results of operations for the periods presented. The results for the period from January 1, 2025, to January 14, 2025, and from January 15, 2025, to September 30, 2025, are not necessarily indicative of the results expected for the current fiscal year or any other future periods.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Income and Loss</w:t>
      </w:r>
    </w:p>
    <w:p>
      <w:pPr>
        <w:pStyle w:val="TextBody"/>
        <w:bidi w:val="0"/>
        <w:jc w:val="left"/>
        <w:rPr>
          <w:rFonts w:ascii="Times New Roman" w:hAnsi="Times New Roman"/>
          <w:sz w:val="20"/>
        </w:rPr>
      </w:pPr>
      <w:r>
        <w:rPr>
          <w:rFonts w:ascii="Arial" w:hAnsi="Arial"/>
          <w:color w:val="000000"/>
          <w:sz w:val="20"/>
        </w:rPr>
        <w:t>The Company did not have any other comprehensive income or loss for the periods presented. Accordingly, net income and loss and comprehensive income and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Cash and Cash Equivalents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and cash equivalents include cash deposits at financial institutions and highly liquid investments with original maturities of three months or less. Outstanding checks that are in excess of the cash balances at certain financial institutions are included in “Other liabilities” in the consolidated balance sheets and changes in these amounts are reflected in operating cash flows in the consolidated statements of cash flows.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br/>
      </w:r>
      <w:r>
        <w:rPr>
          <w:rFonts w:ascii="Times New Roman" w:hAnsi="Times New Roman"/>
          <w:color w:val="000000"/>
          <w:sz w:val="20"/>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br/>
      </w:r>
      <w:r>
        <w:rPr>
          <w:rFonts w:ascii="Arial" w:hAnsi="Arial"/>
          <w:b/>
          <w:i/>
          <w:color w:val="000000"/>
          <w:sz w:val="20"/>
        </w:rPr>
        <w:t>Finance Receivables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for which the fair value option was elected under ASC 825 are classified as finance receivables at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and application of fresh start accounting, the Company made an accounting policy election to account for all finance receivables as finance receivables held for investment at fair value. Prior to the accounting policy change, the Company's finance receivables at fair value included both finance receivables held for sale at fair value as well as finance receivables held for investment at fair value. The Company did not have any finance receivables held for sale at fair value as of September 30, 2025, and the aggregate principal balance and the fair value of the finance receivables held for investment was $930.2</w:t>
      </w:r>
      <w:r>
        <w:rPr>
          <w:rFonts w:ascii="Times New Roman" w:hAnsi="Times New Roman"/>
          <w:color w:val="000000"/>
          <w:sz w:val="20"/>
        </w:rPr>
        <w:t xml:space="preserve"> </w:t>
      </w:r>
      <w:r>
        <w:rPr>
          <w:rFonts w:ascii="Arial" w:hAnsi="Arial"/>
          <w:color w:val="000000"/>
          <w:sz w:val="20"/>
        </w:rPr>
        <w:t>million and $817.7</w:t>
      </w:r>
      <w:r>
        <w:rPr>
          <w:rFonts w:ascii="Times New Roman" w:hAnsi="Times New Roman"/>
          <w:color w:val="000000"/>
          <w:sz w:val="20"/>
        </w:rPr>
        <w:t xml:space="preserve"> </w:t>
      </w:r>
      <w:r>
        <w:rPr>
          <w:rFonts w:ascii="Arial" w:hAnsi="Arial"/>
          <w:color w:val="000000"/>
          <w:sz w:val="20"/>
        </w:rPr>
        <w:t>million, respectively as of September 30, 2025. The aggregate principal balance and the fair value of the finance receivables held for sale at fair value was $365.0</w:t>
      </w:r>
      <w:r>
        <w:rPr>
          <w:rFonts w:ascii="Times New Roman" w:hAnsi="Times New Roman"/>
          <w:color w:val="000000"/>
          <w:sz w:val="20"/>
        </w:rPr>
        <w:t xml:space="preserve"> </w:t>
      </w:r>
      <w:r>
        <w:rPr>
          <w:rFonts w:ascii="Arial" w:hAnsi="Arial"/>
          <w:color w:val="000000"/>
          <w:sz w:val="20"/>
        </w:rPr>
        <w:t>million and $320.6</w:t>
      </w:r>
      <w:r>
        <w:rPr>
          <w:rFonts w:ascii="Times New Roman" w:hAnsi="Times New Roman"/>
          <w:color w:val="000000"/>
          <w:sz w:val="20"/>
        </w:rPr>
        <w:t xml:space="preserve"> </w:t>
      </w:r>
      <w:r>
        <w:rPr>
          <w:rFonts w:ascii="Arial" w:hAnsi="Arial"/>
          <w:color w:val="000000"/>
          <w:sz w:val="20"/>
        </w:rPr>
        <w:t>million, respectively, and the aggregate principal balance and the fair value of the finance receivables held for investment at fair value was $211.2</w:t>
      </w:r>
      <w:r>
        <w:rPr>
          <w:rFonts w:ascii="Times New Roman" w:hAnsi="Times New Roman"/>
          <w:color w:val="000000"/>
          <w:sz w:val="20"/>
        </w:rPr>
        <w:t xml:space="preserve"> </w:t>
      </w:r>
      <w:r>
        <w:rPr>
          <w:rFonts w:ascii="Arial" w:hAnsi="Arial"/>
          <w:color w:val="000000"/>
          <w:sz w:val="20"/>
        </w:rPr>
        <w:t>million and $183.2</w:t>
      </w:r>
      <w:r>
        <w:rPr>
          <w:rFonts w:ascii="Times New Roman" w:hAnsi="Times New Roman"/>
          <w:color w:val="000000"/>
          <w:sz w:val="20"/>
        </w:rPr>
        <w:t xml:space="preserve"> </w:t>
      </w:r>
      <w:r>
        <w:rPr>
          <w:rFonts w:ascii="Arial" w:hAnsi="Arial"/>
          <w:color w:val="000000"/>
          <w:sz w:val="20"/>
        </w:rPr>
        <w:t>million, respectively as of December 31,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reassesses the estimate for fair value at each reporting period with any changes reflected as a fair value adjustment and recorded in "Realized and unrealized losses, net of recoveries" in the condensed consolidated statements of operations. For all finance receivables at fair value, the Company recognizes the fees it charges to dealers upon acquisition as other income at the time of issuance of the finance receivables and recognizes the acquisition costs to underwrite the finance receivables as an expense in the period incurred. For finance receivables held for investment at fair value, any discounts are amortized over the contractual life of the underlying finance receivables and is recognized in realized and unrealized loss, net of recoveries on the condensed consolidated statement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Refer to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br/>
      </w: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made an accounting policy election to elect the fair value option for all finance receivables held for sale, net. The Company reports all finance receivables on a prospective basis as Finance Receivables at Fair Value. Refer to Note 6 — Fresh Start Accounting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finance receivables that the Company intended to sell were classified as held for sale and recorded at the lower of cost or fair value. The Company intended to sell finance receivables through securitization transactions. Deferred acquisition costs and any discounts were deferred until the finance receivables were sold and were then recognized as part of the total gain or loss on sale. Refer to Note 3 — Revenue Recognition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Effective Date, the Company recorded a valuation allowance to report finance receivables held for sale at the lower of cost or fair value. To determine the valuation allowance, finance receivables were evaluated collectively as they represent a large group of smaller-balance homogeneous loans. To the extent that actual experience differed from estimates, significant adjustments to the Company's valuation allowance were needed. Fair value adjustments were recorded in "Realized and unrealized losses, net of recoveries" in the consolidated statements of operations. Principal balances and corresponding deferred acquisition costs and discounts of finance receivables were charged-off when the Company was unable to sell the finance receivable and the related vehicle had been repossessed and liquidated, or the receivable had otherwise been deemed uncollectible. As of September 30, 2025, the Company did not have any finance receivables classified as held for sale, net and therefore did not have a valuation allowance. As of December 31, 2024, the valuation allowance for finance receivables classified as held for sale was $31.1</w:t>
      </w:r>
      <w:r>
        <w:rPr>
          <w:rFonts w:ascii="Times New Roman" w:hAnsi="Times New Roman"/>
          <w:color w:val="000000"/>
          <w:sz w:val="20"/>
        </w:rPr>
        <w:t xml:space="preserve"> </w:t>
      </w:r>
      <w:r>
        <w:rPr>
          <w:rFonts w:ascii="Arial" w:hAnsi="Arial"/>
          <w:color w:val="000000"/>
          <w:sz w:val="20"/>
        </w:rPr>
        <w:t>million. Refer to Note 15 — Financial Instruments and Fair Value Measurements for further details.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2022-2, 2023-1, 2024-1, and 2025-1 securitization transactions are consolidated collateralized financing entities (CFEs) that are VIEs.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 The Company recognized the following revenue and expenses associated with these CFEs in the condensed consolidated statements of operations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5"/>
        <w:gridCol w:w="146"/>
        <w:gridCol w:w="274"/>
        <w:gridCol w:w="979"/>
        <w:gridCol w:w="166"/>
        <w:gridCol w:w="146"/>
        <w:gridCol w:w="146"/>
        <w:gridCol w:w="297"/>
        <w:gridCol w:w="1058"/>
        <w:gridCol w:w="166"/>
        <w:gridCol w:w="146"/>
        <w:gridCol w:w="146"/>
        <w:gridCol w:w="303"/>
        <w:gridCol w:w="1080"/>
        <w:gridCol w:w="166"/>
        <w:gridCol w:w="146"/>
        <w:gridCol w:w="146"/>
        <w:gridCol w:w="307"/>
        <w:gridCol w:w="940"/>
        <w:gridCol w:w="166"/>
        <w:gridCol w:w="146"/>
        <w:gridCol w:w="233"/>
        <w:gridCol w:w="832"/>
        <w:gridCol w:w="215"/>
      </w:tblGrid>
      <w:tr>
        <w:trPr/>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(53,544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Property and Equipment, Net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Depreciation and amortization are calculated using the straight-line method over the following estimated useful lives of the assets:</w:t>
      </w:r>
      <w:r>
        <w:rPr>
          <w:rFonts w:ascii="Times New Roman" w:hAnsi="Times New Roman"/>
          <w:color w:val="000000"/>
          <w:sz w:val="20"/>
        </w:rPr>
        <w:t xml:space="preserve"> </w:t>
      </w:r>
    </w:p>
    <w:tbl>
      <w:tblPr>
        <w:tblW w:w="5557" w:type="dxa"/>
        <w:jc w:val="left"/>
        <w:tblInd w:w="0" w:type="dxa"/>
        <w:tblLayout w:type="fixed"/>
        <w:tblCellMar>
          <w:top w:w="28" w:type="dxa"/>
          <w:left w:w="28" w:type="dxa"/>
          <w:bottom w:w="28" w:type="dxa"/>
          <w:right w:w="28" w:type="dxa"/>
        </w:tblCellMar>
      </w:tblPr>
      <w:tblGrid>
        <w:gridCol w:w="2396"/>
        <w:gridCol w:w="3161"/>
      </w:tblGrid>
      <w:tr>
        <w:trPr/>
        <w:tc>
          <w:tcPr>
            <w:tcW w:w="2396"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Equipment</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to 10</w:t>
            </w:r>
            <w:r>
              <w:rPr>
                <w:rFonts w:ascii="Times New Roman" w:hAnsi="Times New Roman"/>
                <w:color w:val="000000"/>
                <w:sz w:val="20"/>
              </w:rPr>
              <w:t> </w:t>
            </w:r>
            <w:r>
              <w:rPr>
                <w:rFonts w:ascii="Arial" w:hAnsi="Arial"/>
                <w:color w:val="000000"/>
                <w:sz w:val="20"/>
              </w:rPr>
              <w:t>years</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Furniture and fixtures</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2</w:t>
            </w:r>
            <w:r>
              <w:rPr>
                <w:rFonts w:ascii="Times New Roman" w:hAnsi="Times New Roman"/>
                <w:color w:val="000000"/>
                <w:sz w:val="20"/>
              </w:rPr>
              <w:t> </w:t>
            </w:r>
            <w:r>
              <w:rPr>
                <w:rFonts w:ascii="Arial" w:hAnsi="Arial"/>
                <w:color w:val="000000"/>
                <w:sz w:val="20"/>
              </w:rPr>
              <w:t>to 5</w:t>
            </w:r>
            <w:r>
              <w:rPr>
                <w:rFonts w:ascii="Times New Roman" w:hAnsi="Times New Roman"/>
                <w:color w:val="000000"/>
                <w:sz w:val="20"/>
              </w:rPr>
              <w:t> </w:t>
            </w:r>
            <w:r>
              <w:rPr>
                <w:rFonts w:ascii="Arial" w:hAnsi="Arial"/>
                <w:color w:val="000000"/>
                <w:sz w:val="20"/>
              </w:rPr>
              <w:t>years</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Leasehold improvements</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Lesser of useful life or lease term</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Internal-use software</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to 10</w:t>
            </w:r>
            <w:r>
              <w:rPr>
                <w:rFonts w:ascii="Times New Roman" w:hAnsi="Times New Roman"/>
                <w:color w:val="000000"/>
                <w:sz w:val="20"/>
              </w:rPr>
              <w:t> </w:t>
            </w:r>
            <w:r>
              <w:rPr>
                <w:rFonts w:ascii="Arial" w:hAnsi="Arial"/>
                <w:color w:val="000000"/>
                <w:sz w:val="20"/>
              </w:rPr>
              <w:t>years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w:t>
      </w:r>
      <w:r>
        <w:rPr>
          <w:rFonts w:ascii="Times New Roman" w:hAnsi="Times New Roman"/>
          <w:color w:val="000000"/>
          <w:sz w:val="20"/>
        </w:rPr>
        <w:t xml:space="preserve"> </w:t>
      </w:r>
      <w:r>
        <w:rPr>
          <w:rFonts w:ascii="Arial" w:hAnsi="Arial"/>
          <w:color w:val="000000"/>
          <w:sz w:val="20"/>
        </w:rPr>
        <w:t>and 10</w:t>
      </w:r>
      <w:r>
        <w:rPr>
          <w:rFonts w:ascii="Times New Roman" w:hAnsi="Times New Roman"/>
          <w:color w:val="000000"/>
          <w:sz w:val="20"/>
        </w:rPr>
        <w:t xml:space="preserve"> </w:t>
      </w:r>
      <w:r>
        <w:rPr>
          <w:rFonts w:ascii="Arial" w:hAnsi="Arial"/>
          <w:color w:val="000000"/>
          <w:sz w:val="20"/>
        </w:rPr>
        <w:t>years.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Intangible Assets, net</w:t>
      </w:r>
    </w:p>
    <w:p>
      <w:pPr>
        <w:pStyle w:val="TextBody"/>
        <w:bidi w:val="0"/>
        <w:jc w:val="left"/>
        <w:rPr>
          <w:rFonts w:ascii="Arial" w:hAnsi="Arial"/>
          <w:color w:val="000000"/>
          <w:sz w:val="20"/>
        </w:rPr>
      </w:pPr>
      <w:r>
        <w:rPr>
          <w:rFonts w:ascii="Arial" w:hAnsi="Arial"/>
          <w:color w:val="000000"/>
          <w:sz w:val="20"/>
        </w:rPr>
        <w:t>The Company's intangible assets are amortized on a straight-line basis over the following estimated weighted average useful lives:</w:t>
      </w:r>
    </w:p>
    <w:tbl>
      <w:tblPr>
        <w:tblW w:w="3097" w:type="dxa"/>
        <w:jc w:val="left"/>
        <w:tblInd w:w="0" w:type="dxa"/>
        <w:tblLayout w:type="fixed"/>
        <w:tblCellMar>
          <w:top w:w="28" w:type="dxa"/>
          <w:left w:w="28" w:type="dxa"/>
          <w:bottom w:w="28" w:type="dxa"/>
          <w:right w:w="28" w:type="dxa"/>
        </w:tblCellMar>
      </w:tblPr>
      <w:tblGrid>
        <w:gridCol w:w="2216"/>
        <w:gridCol w:w="881"/>
      </w:tblGrid>
      <w:tr>
        <w:trPr/>
        <w:tc>
          <w:tcPr>
            <w:tcW w:w="22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Developed technology</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7</w:t>
            </w:r>
            <w:r>
              <w:rPr>
                <w:rFonts w:ascii="Times New Roman" w:hAnsi="Times New Roman"/>
                <w:color w:val="000000"/>
                <w:sz w:val="20"/>
              </w:rPr>
              <w:t> </w:t>
            </w:r>
            <w:r>
              <w:rPr>
                <w:rFonts w:ascii="Arial" w:hAnsi="Arial"/>
                <w:color w:val="000000"/>
                <w:sz w:val="20"/>
              </w:rPr>
              <w:t>years</w:t>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Trademarks</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9</w:t>
            </w:r>
            <w:r>
              <w:rPr>
                <w:rFonts w:ascii="Times New Roman" w:hAnsi="Times New Roman"/>
                <w:color w:val="000000"/>
                <w:sz w:val="20"/>
              </w:rPr>
              <w:t> </w:t>
            </w:r>
            <w:r>
              <w:rPr>
                <w:rFonts w:ascii="Arial" w:hAnsi="Arial"/>
                <w:color w:val="000000"/>
                <w:sz w:val="20"/>
              </w:rPr>
              <w:t>years</w:t>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Customer relationships</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8</w:t>
            </w:r>
            <w:r>
              <w:rPr>
                <w:rFonts w:ascii="Times New Roman" w:hAnsi="Times New Roman"/>
                <w:color w:val="000000"/>
                <w:sz w:val="20"/>
              </w:rPr>
              <w:t> </w:t>
            </w:r>
            <w:r>
              <w:rPr>
                <w:rFonts w:ascii="Arial" w:hAnsi="Arial"/>
                <w:color w:val="000000"/>
                <w:sz w:val="20"/>
              </w:rPr>
              <w:t>years</w:t>
            </w:r>
          </w:p>
        </w:tc>
      </w:tr>
    </w:tbl>
    <w:p>
      <w:pPr>
        <w:pStyle w:val="TextBody"/>
        <w:bidi w:val="0"/>
        <w:jc w:val="left"/>
        <w:rPr>
          <w:rFonts w:ascii="Arial" w:hAnsi="Arial"/>
          <w:color w:val="000000"/>
          <w:sz w:val="20"/>
        </w:rPr>
      </w:pPr>
      <w:r>
        <w:rPr>
          <w:rFonts w:ascii="Arial" w:hAnsi="Arial"/>
          <w:color w:val="000000"/>
          <w:sz w:val="20"/>
        </w:rPr>
        <w:t>The Company periodically reassesses the useful lives of its definite-lived intangible assets when events or circumstances indicate that useful lives have significantly changed from the previous estimate.</w:t>
      </w:r>
    </w:p>
    <w:p>
      <w:pPr>
        <w:pStyle w:val="TextBody"/>
        <w:bidi w:val="0"/>
        <w:jc w:val="left"/>
        <w:rPr>
          <w:rFonts w:ascii="Arial" w:hAnsi="Arial"/>
          <w:b/>
          <w:i/>
          <w:color w:val="000000"/>
          <w:sz w:val="20"/>
        </w:rPr>
      </w:pPr>
      <w:r>
        <w:rPr>
          <w:rFonts w:ascii="Arial" w:hAnsi="Arial"/>
          <w:b/>
          <w:i/>
          <w:color w:val="000000"/>
          <w:sz w:val="20"/>
        </w:rPr>
        <w:t>Leases</w:t>
      </w:r>
    </w:p>
    <w:p>
      <w:pPr>
        <w:pStyle w:val="TextBody"/>
        <w:bidi w:val="0"/>
        <w:jc w:val="left"/>
        <w:rPr>
          <w:rFonts w:ascii="Arial" w:hAnsi="Arial"/>
          <w:color w:val="000000"/>
          <w:sz w:val="20"/>
        </w:rPr>
      </w:pPr>
      <w:r>
        <w:rPr>
          <w:rFonts w:ascii="Arial" w:hAnsi="Arial"/>
          <w:color w:val="000000"/>
          <w:sz w:val="20"/>
        </w:rPr>
        <w:t>The Company determines if an arrangement is a lease at inception by evaluating if the asset is explicitly or implicitly identified or distinct, if the Company will receive substantially all of the economic benefit or if the lessor has an economic benefit and the ability to substitute the asset. Right-of-use ("ROU") assets represent the Company's right to use an underlying asset for the lease term and lease liabilities represent the Company's obligation to make lease payments arising from the lease. The Company assesses whether the lease is an operating or finance lease at its inception. Operating lease liabilities are recognized at commencement date based on the present value of the lease payments over the lease term. 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 The operating lease ROU asset is the initial lease liability adjusted for any prepayments, initial indirect costs incurred by the Company, and lease incentives. The Company's operating leases are included in "Operating lease right-of-use assets," and "Operating lease liabilities" on the consolidated balance sheets. The Company does not have any material leases, individually or in the aggregate, classified as a finance leasing arrangement. Additionally, leases with an initial term of 12 months or less are not recorded on the Company’s consolidated balance sheet and expenses for these leases are recognized on a straight-line basis over the lease term.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incurred impairment charges related to operating lease right-of-use assets of $4.2</w:t>
      </w:r>
      <w:r>
        <w:rPr>
          <w:rFonts w:ascii="Times New Roman" w:hAnsi="Times New Roman"/>
          <w:color w:val="000000"/>
          <w:sz w:val="20"/>
        </w:rPr>
        <w:t xml:space="preserve"> </w:t>
      </w:r>
      <w:r>
        <w:rPr>
          <w:rFonts w:ascii="Arial" w:hAnsi="Arial"/>
          <w:color w:val="000000"/>
          <w:sz w:val="20"/>
        </w:rPr>
        <w:t>million for the period from January 15, 2025, to September 30, 2025, related to costs associated with planned facility closures that will continue to be incurred under the contract for its remaining term without economic benefit to the Company.</w:t>
      </w:r>
    </w:p>
    <w:p>
      <w:pPr>
        <w:pStyle w:val="TextBody"/>
        <w:bidi w:val="0"/>
        <w:jc w:val="left"/>
        <w:rPr>
          <w:rFonts w:ascii="Arial" w:hAnsi="Arial"/>
          <w:b/>
          <w:i/>
          <w:color w:val="000000"/>
          <w:sz w:val="20"/>
        </w:rPr>
      </w:pPr>
      <w:r>
        <w:rPr>
          <w:rFonts w:ascii="Arial" w:hAnsi="Arial"/>
          <w:b/>
          <w:i/>
          <w:color w:val="000000"/>
          <w:sz w:val="20"/>
        </w:rPr>
        <w:t>Long-lived asset impairment</w:t>
      </w:r>
    </w:p>
    <w:p>
      <w:pPr>
        <w:pStyle w:val="TextBody"/>
        <w:bidi w:val="0"/>
        <w:jc w:val="left"/>
        <w:rPr>
          <w:rFonts w:ascii="Arial" w:hAnsi="Arial"/>
          <w:color w:val="000000"/>
          <w:sz w:val="20"/>
        </w:rPr>
      </w:pPr>
      <w:r>
        <w:rPr>
          <w:rFonts w:ascii="Arial" w:hAnsi="Arial"/>
          <w:color w:val="000000"/>
          <w:sz w:val="20"/>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w:t>
      </w:r>
    </w:p>
    <w:p>
      <w:pPr>
        <w:pStyle w:val="TextBody"/>
        <w:bidi w:val="0"/>
        <w:jc w:val="left"/>
        <w:rPr>
          <w:rFonts w:ascii="Arial" w:hAnsi="Arial"/>
          <w:color w:val="000000"/>
          <w:sz w:val="20"/>
        </w:rPr>
      </w:pPr>
      <w:r>
        <w:rPr>
          <w:rFonts w:ascii="Arial" w:hAnsi="Arial"/>
          <w:color w:val="000000"/>
          <w:sz w:val="20"/>
        </w:rPr>
        <w:t>As a result of filing the Prepackaged Chapter 11 Case on November 13, 2024, the Company determined a triggering event existed as of December 31, 2024, indicating the carrying amount of the Company's asset groups may not be recoverable. Therefore, the Company performed an evaluation of its assets for impairment. For the UACC asset group, as the carrying value of the asset group did not exceed the estimated undiscounted future cash flows, the asset group was deemed recoverable, and no impairment charges were recognized. For the CarStory asset group, the carrying value of the asset group exceeded the estimated undiscounted future cash flows, however, it did not exceed the estimated fair value, as such, no impairment charges were recognized. The Company determined there were no triggering events as of September 30, 2025.</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pStyle w:val="TextBody"/>
        <w:bidi w:val="0"/>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pStyle w:val="TextBody"/>
        <w:bidi w:val="0"/>
        <w:jc w:val="left"/>
        <w:rPr>
          <w:rFonts w:ascii="Times New Roman" w:hAnsi="Times New Roman"/>
          <w:sz w:val="20"/>
        </w:rPr>
      </w:pPr>
      <w:r>
        <w:rPr>
          <w:rFonts w:ascii="Arial" w:hAnsi="Arial"/>
          <w:color w:val="000000"/>
          <w:sz w:val="20"/>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periods presented, no customer represented 10% or more of the Company’s income and no customer represented more than 10% of the Company’s finance receivables as of September 30, 2025, and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Company emerged from the Prepackaged Chapter 11 Case, as discussed in Note 1 — Description of Business and Basis of Presentation. On the Effective Date, each holder of the 2026 Notes received a pro rata share of 92.94% of the New Common Stock (subject to dilution) and all of the Company’s outstanding obligations under the 2026 Notes and the Indenture were deemed fully satisfied and discharged. As of the Effective Date, Vroom, Inc. no longer had long-term debt, but UACC has securitization debt and their trust preferred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the Company had cash and cash equivalents of $12.4</w:t>
      </w:r>
      <w:r>
        <w:rPr>
          <w:rFonts w:ascii="Times New Roman" w:hAnsi="Times New Roman"/>
          <w:color w:val="000000"/>
          <w:sz w:val="20"/>
        </w:rPr>
        <w:t xml:space="preserve"> </w:t>
      </w:r>
      <w:r>
        <w:rPr>
          <w:rFonts w:ascii="Arial" w:hAnsi="Arial"/>
          <w:color w:val="000000"/>
          <w:sz w:val="20"/>
        </w:rPr>
        <w:t>million and restricted cash of $55.0</w:t>
      </w:r>
      <w:r>
        <w:rPr>
          <w:rFonts w:ascii="Times New Roman" w:hAnsi="Times New Roman"/>
          <w:color w:val="000000"/>
          <w:sz w:val="20"/>
        </w:rPr>
        <w:t xml:space="preserve"> </w:t>
      </w:r>
      <w:r>
        <w:rPr>
          <w:rFonts w:ascii="Arial" w:hAnsi="Arial"/>
          <w:color w:val="000000"/>
          <w:sz w:val="20"/>
        </w:rPr>
        <w:t>million. Restricted cash primarily includes restricted cash required under UACC's securitization transactions and Warehouse Credit Facilities (as defined below) of $54.3</w:t>
      </w:r>
      <w:r>
        <w:rPr>
          <w:rFonts w:ascii="Times New Roman" w:hAnsi="Times New Roman"/>
          <w:color w:val="000000"/>
          <w:sz w:val="20"/>
        </w:rPr>
        <w:t xml:space="preserve"> </w:t>
      </w:r>
      <w:r>
        <w:rPr>
          <w:rFonts w:ascii="Arial" w:hAnsi="Arial"/>
          <w:color w:val="000000"/>
          <w:sz w:val="20"/>
        </w:rPr>
        <w:t>million. The Company has historically had negative cash flows and generated losses from operations and the Company’s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UACC had three</w:t>
      </w:r>
      <w:r>
        <w:rPr>
          <w:rFonts w:ascii="Times New Roman" w:hAnsi="Times New Roman"/>
          <w:color w:val="000000"/>
          <w:sz w:val="20"/>
        </w:rPr>
        <w:t xml:space="preserve"> </w:t>
      </w:r>
      <w:r>
        <w:rPr>
          <w:rFonts w:ascii="Arial" w:hAnsi="Arial"/>
          <w:color w:val="000000"/>
          <w:sz w:val="20"/>
        </w:rPr>
        <w:t>credit facilities, with an aggregate borrowing limit of $600.0</w:t>
      </w:r>
      <w:r>
        <w:rPr>
          <w:rFonts w:ascii="Times New Roman" w:hAnsi="Times New Roman"/>
          <w:color w:val="000000"/>
          <w:sz w:val="20"/>
        </w:rPr>
        <w:t xml:space="preserve"> </w:t>
      </w:r>
      <w:r>
        <w:rPr>
          <w:rFonts w:ascii="Arial" w:hAnsi="Arial"/>
          <w:color w:val="000000"/>
          <w:sz w:val="20"/>
        </w:rPr>
        <w:t>million, and outstanding borrowings of $269.8</w:t>
      </w:r>
      <w:r>
        <w:rPr>
          <w:rFonts w:ascii="Times New Roman" w:hAnsi="Times New Roman"/>
          <w:color w:val="000000"/>
          <w:sz w:val="20"/>
        </w:rPr>
        <w:t xml:space="preserve"> </w:t>
      </w:r>
      <w:r>
        <w:rPr>
          <w:rFonts w:ascii="Arial" w:hAnsi="Arial"/>
          <w:color w:val="000000"/>
          <w:sz w:val="20"/>
        </w:rPr>
        <w:t>million with excess borrowing capacity of $11.8</w:t>
      </w:r>
      <w:r>
        <w:rPr>
          <w:rFonts w:ascii="Times New Roman" w:hAnsi="Times New Roman"/>
          <w:color w:val="000000"/>
          <w:sz w:val="20"/>
        </w:rPr>
        <w:t xml:space="preserve"> </w:t>
      </w:r>
      <w:r>
        <w:rPr>
          <w:rFonts w:ascii="Arial" w:hAnsi="Arial"/>
          <w:color w:val="000000"/>
          <w:sz w:val="20"/>
        </w:rPr>
        <w:t>million. The terms of the facilities generally mature within one to two years and the Company typically renews the facilities in the ordinary course. On March 8, 2025, the Company renewed Warehouse Credit Facility Two (as defined below), now expiring June 2026. The aggregate borrowing limit and other significant terms of the agreement remained unchanged except for an increase in the minimum liquidity covenant. On March 28, 2025, the Company renewed Warehouse Credit Facility Four, now expiring in April 2027. The</w:t>
      </w:r>
      <w:r>
        <w:rPr>
          <w:rFonts w:ascii="Times New Roman" w:hAnsi="Times New Roman"/>
          <w:color w:val="000000"/>
          <w:sz w:val="20"/>
        </w:rPr>
        <w:t xml:space="preserve"> </w:t>
      </w:r>
      <w:r>
        <w:rPr>
          <w:rFonts w:ascii="Arial" w:hAnsi="Arial"/>
          <w:color w:val="000000"/>
          <w:sz w:val="20"/>
        </w:rPr>
        <w:t>aggregate borrowing limit under this facility decreased from $225.0</w:t>
      </w:r>
      <w:r>
        <w:rPr>
          <w:rFonts w:ascii="Times New Roman" w:hAnsi="Times New Roman"/>
          <w:color w:val="000000"/>
          <w:sz w:val="20"/>
        </w:rPr>
        <w:t xml:space="preserve"> </w:t>
      </w:r>
      <w:r>
        <w:rPr>
          <w:rFonts w:ascii="Arial" w:hAnsi="Arial"/>
          <w:color w:val="000000"/>
          <w:sz w:val="20"/>
        </w:rPr>
        <w:t>million to $200.0</w:t>
      </w:r>
      <w:r>
        <w:rPr>
          <w:rFonts w:ascii="Times New Roman" w:hAnsi="Times New Roman"/>
          <w:color w:val="000000"/>
          <w:sz w:val="20"/>
        </w:rPr>
        <w:t xml:space="preserve"> </w:t>
      </w:r>
      <w:r>
        <w:rPr>
          <w:rFonts w:ascii="Arial" w:hAnsi="Arial"/>
          <w:color w:val="000000"/>
          <w:sz w:val="20"/>
        </w:rPr>
        <w:t>million and all other significant terms of the agreement remained unchanged. On July 21, 2025, the Company's Warehouse Credit Facility One expired pursuant to its terms and was not extended or renewed. The Company believes that its borrowing capacity from its other Warehouse Credit Facilities is sufficient to support its current operational needs and therefore elected not to renew this commitment. On August 29, 2025, the Company renewed Warehouse Credit Facility Three, now expiring August 28, 2026. The amendment reduced the advance rate and increased tangible net worth and minimum liquidity requirements, while the borrowing limit and all other significant terms of the agreement remained unchanged. As of September 30, 2025, the Company was in compliance with all covenants related to the Warehouse Credit Facilities. Refer to Note 10 - Warehouse Credit Facilities and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Failure to secure warehouse borrowing capacity beyond their expiration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delayed draw term loan facility (“Delayed Draw Facility”), which matures on December 31, 2026, with Mudrick Capital Management, L.P. (“Lender”), who is a 76.5% shareholder of the Company, and as of January 14, 2025, became a related party. On October 9, 2025 the maximum facility amount was amended from $25.0</w:t>
      </w:r>
      <w:r>
        <w:rPr>
          <w:rFonts w:ascii="Times New Roman" w:hAnsi="Times New Roman"/>
          <w:color w:val="000000"/>
          <w:sz w:val="20"/>
        </w:rPr>
        <w:t xml:space="preserve"> </w:t>
      </w:r>
      <w:r>
        <w:rPr>
          <w:rFonts w:ascii="Arial" w:hAnsi="Arial"/>
          <w:color w:val="000000"/>
          <w:sz w:val="20"/>
        </w:rPr>
        <w:t>million to $35.0</w:t>
      </w:r>
      <w:r>
        <w:rPr>
          <w:rFonts w:ascii="Times New Roman" w:hAnsi="Times New Roman"/>
          <w:color w:val="000000"/>
          <w:sz w:val="20"/>
        </w:rPr>
        <w:t xml:space="preserve"> </w:t>
      </w:r>
      <w:r>
        <w:rPr>
          <w:rFonts w:ascii="Arial" w:hAnsi="Arial"/>
          <w:color w:val="000000"/>
          <w:sz w:val="20"/>
        </w:rPr>
        <w:t xml:space="preserve">million effective as of September 30, 2025. Refer to Note 19 </w:t>
      </w:r>
      <w:r>
        <w:rPr>
          <w:rFonts w:ascii="Times New Roman" w:hAnsi="Times New Roman"/>
          <w:color w:val="000000"/>
          <w:sz w:val="20"/>
        </w:rPr>
        <w:t xml:space="preserve">— </w:t>
      </w:r>
      <w:r>
        <w:rPr>
          <w:rFonts w:ascii="Arial" w:hAnsi="Arial"/>
          <w:color w:val="000000"/>
          <w:sz w:val="20"/>
        </w:rPr>
        <w:t>Related Party Transactions for further details. As of September 30, 2025, the Company did not have any drawdowns on the Delayed Draw Facility.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the Company's emergence from Prepackaged Chapter 11 Case on January 14, 2025, the Company continues to operate as a viable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future capital requirements will depend on many factors, including the ability to realize the intended benefits of the Prepackaged Chapter 11 Case and Long Term-Strategic Plan, available advance rates on and the renewal of the Warehouse Credit Facilities, the ability to complete additional securitization transactions on terms favorable to the Company, and future credit losses. The Company anticipates that existing cash and cash equivalents, the credit agreement with Mudrick Capital Management, L.P., and UACC's Warehouse Credit Facilities will be sufficient to support the Company’s ongoing operations and obligations, for at least the next twelve months from the date of issuance of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Net (Loss) Income Per Share Attributable to Common Stockholders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Under the two-class method, the net loss attributable to common stockholders is not allocated to the preferred stock as the holders of the Company’s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2023, the FASB issued ASU 2023-07, Segment Reporting (Topic 280): Improvements to Reportable Segment Disclosures, which requires disclosure of incremental segment information on an annual and interim basis, primarily through enhanced disclosures of significant segment expenses. The Company adopted</w:t>
      </w:r>
      <w:r>
        <w:rPr>
          <w:rFonts w:ascii="Times New Roman" w:hAnsi="Times New Roman"/>
          <w:color w:val="000000"/>
          <w:sz w:val="20"/>
        </w:rPr>
        <w:t xml:space="preserve"> </w:t>
      </w:r>
      <w:r>
        <w:rPr>
          <w:rFonts w:ascii="Arial" w:hAnsi="Arial"/>
          <w:color w:val="000000"/>
          <w:sz w:val="20"/>
        </w:rPr>
        <w:t>the guidance for fiscal year beginning January 1, 2024, on a retroactive basis, which did not have a material impact on the Company's condensed consolidated financial statements and related disclosures. Refer to Note 16 — Segment Information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Accounting Standards Issued but Not Yet Adopted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Arial" w:hAnsi="Arial"/>
          <w:color w:val="000000"/>
          <w:sz w:val="20"/>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Disaggregation of Income Statement Expenses (DISE)</w:t>
      </w:r>
      <w:r>
        <w:rPr>
          <w:rFonts w:ascii="Arial" w:hAnsi="Arial"/>
          <w:color w:val="000000"/>
          <w:sz w:val="20"/>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September 2025, the FASB issued ASU 2025-06, </w:t>
      </w:r>
      <w:r>
        <w:rPr>
          <w:rFonts w:ascii="Arial" w:hAnsi="Arial"/>
          <w:i/>
          <w:color w:val="000000"/>
          <w:sz w:val="20"/>
        </w:rPr>
        <w:t xml:space="preserve">Intangibles - Goodwill and Other - Internal-Use Software (Subtopic 350-40): Targeted Improvements to the Accounting for Internal-Use Software. </w:t>
      </w:r>
      <w:r>
        <w:rPr>
          <w:rFonts w:ascii="Arial" w:hAnsi="Arial"/>
          <w:color w:val="000000"/>
          <w:sz w:val="20"/>
        </w:rPr>
        <w:t>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of ASU 2025-06 on the consolidated condensed financial statements.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revenue is disaggregated within the condensed consolidated statements of operations and is generated from consumers throughout the United States.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interest income is related to finance receivables originated by UACC for its network of third-party dealership customers and vehicle financing UACC offered to Vroom’s customers through its ecommerce platform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made an accounting policy election to recognize discount income on finance receivables held for investment at fair value as a component of "Realized and unrealized losses, net of recoveries". In the Predecessor periods discount income on finance receivables held for investment at fair value was recognized as a component of "Interest income" on the Company’s condensed consolidated statement of operations. The discount income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Servicing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of the outstanding principal balance of the finance receivables serviced. Late charges and other fees are calculated at predetermined amounts or percentages of overdue finance receivable balances and are recorded on a cash basis.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portion of the fees earned on third-party financing and value-added products are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September 30, 2025, and December 31, 2024, the Company’s reserve for chargebacks was $8.2</w:t>
      </w:r>
      <w:r>
        <w:rPr>
          <w:rFonts w:ascii="Times New Roman" w:hAnsi="Times New Roman"/>
          <w:color w:val="000000"/>
          <w:sz w:val="20"/>
        </w:rPr>
        <w:t xml:space="preserve"> </w:t>
      </w:r>
      <w:r>
        <w:rPr>
          <w:rFonts w:ascii="Arial" w:hAnsi="Arial"/>
          <w:color w:val="000000"/>
          <w:sz w:val="20"/>
        </w:rPr>
        <w:t>million and $9.1</w:t>
      </w:r>
      <w:r>
        <w:rPr>
          <w:rFonts w:ascii="Times New Roman" w:hAnsi="Times New Roman"/>
          <w:color w:val="000000"/>
          <w:sz w:val="20"/>
        </w:rPr>
        <w:t xml:space="preserve"> </w:t>
      </w:r>
      <w:r>
        <w:rPr>
          <w:rFonts w:ascii="Arial" w:hAnsi="Arial"/>
          <w:color w:val="000000"/>
          <w:sz w:val="20"/>
        </w:rPr>
        <w:t>million, respectively, which are included within “Other liabilities” in the Company's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September 30, 2025, and December 31, 2024, the Company recognized $11.4</w:t>
      </w:r>
      <w:r>
        <w:rPr>
          <w:rFonts w:ascii="Times New Roman" w:hAnsi="Times New Roman"/>
          <w:color w:val="000000"/>
          <w:sz w:val="20"/>
        </w:rPr>
        <w:t xml:space="preserve"> </w:t>
      </w:r>
      <w:r>
        <w:rPr>
          <w:rFonts w:ascii="Arial" w:hAnsi="Arial"/>
          <w:color w:val="000000"/>
          <w:sz w:val="20"/>
        </w:rPr>
        <w:t>million and $11.0</w:t>
      </w:r>
      <w:r>
        <w:rPr>
          <w:rFonts w:ascii="Times New Roman" w:hAnsi="Times New Roman"/>
          <w:color w:val="000000"/>
          <w:sz w:val="20"/>
        </w:rPr>
        <w:t xml:space="preserve"> </w:t>
      </w:r>
      <w:r>
        <w:rPr>
          <w:rFonts w:ascii="Arial" w:hAnsi="Arial"/>
          <w:color w:val="000000"/>
          <w:sz w:val="20"/>
        </w:rPr>
        <w:t>million, respectively, related to cumulative profit-sharing payments to which it expects to be entitled, which are included within “Other assets" in the Company's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CarStory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includes advances received from customers in excess of revenue recognized.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nine months ended September 30, 2025, UACC completed the 2025-1 securitization transaction, in which it issued approximately $307.8</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transaction from a securitization trust, established and sponsored by UACC for proceeds of $306.5</w:t>
      </w:r>
      <w:r>
        <w:rPr>
          <w:rFonts w:ascii="Times New Roman" w:hAnsi="Times New Roman"/>
          <w:color w:val="000000"/>
          <w:sz w:val="20"/>
        </w:rPr>
        <w:t xml:space="preserve"> </w:t>
      </w:r>
      <w:r>
        <w:rPr>
          <w:rFonts w:ascii="Arial" w:hAnsi="Arial"/>
          <w:color w:val="000000"/>
          <w:sz w:val="20"/>
        </w:rPr>
        <w:t>million. The trust was collateralized by finance receivables with an aggregate principal balance of $382.1</w:t>
      </w:r>
      <w:r>
        <w:rPr>
          <w:rFonts w:ascii="Times New Roman" w:hAnsi="Times New Roman"/>
          <w:color w:val="000000"/>
          <w:sz w:val="20"/>
        </w:rPr>
        <w:t xml:space="preserve"> </w:t>
      </w:r>
      <w:r>
        <w:rPr>
          <w:rFonts w:ascii="Arial" w:hAnsi="Arial"/>
          <w:color w:val="000000"/>
          <w:sz w:val="20"/>
        </w:rPr>
        <w:t>million as of March 12, 2025. These finance receivables are serviced by UACC and UACC receives an "at market" servicing fee. The Company retained the residual interests, which required the Company to account for the 2025-1 securitization as secured borrowings and the assets and liabilities of the trust remain on balance sheet.</w:t>
      </w:r>
    </w:p>
    <w:p>
      <w:pPr>
        <w:pStyle w:val="TextBody"/>
        <w:bidi w:val="0"/>
        <w:jc w:val="left"/>
        <w:rPr>
          <w:rFonts w:ascii="Times New Roman" w:hAnsi="Times New Roman"/>
          <w:sz w:val="20"/>
        </w:rPr>
      </w:pPr>
      <w:r>
        <w:rPr>
          <w:rFonts w:ascii="Arial" w:hAnsi="Arial"/>
          <w:color w:val="000000"/>
          <w:sz w:val="20"/>
        </w:rPr>
        <w:t>In 2024, UACC completed the 2024-1 securitization transaction, in which it issued rated asset-backed securities, for proceeds of $297.2</w:t>
      </w:r>
      <w:r>
        <w:rPr>
          <w:rFonts w:ascii="Times New Roman" w:hAnsi="Times New Roman"/>
          <w:color w:val="000000"/>
          <w:sz w:val="20"/>
        </w:rPr>
        <w:t xml:space="preserve"> </w:t>
      </w:r>
      <w:r>
        <w:rPr>
          <w:rFonts w:ascii="Arial" w:hAnsi="Arial"/>
          <w:color w:val="000000"/>
          <w:sz w:val="20"/>
        </w:rPr>
        <w:t>million. UACC still retains the residual interests related to the 2024-1 securitization transaction and therefore consolidated the 2024-1 VIE and accounted for this transaction as secured borrowings. The trust was collateralized by finance receivables with an aggregate principal balance of $380.1</w:t>
      </w:r>
      <w:r>
        <w:rPr>
          <w:rFonts w:ascii="Times New Roman" w:hAnsi="Times New Roman"/>
          <w:color w:val="000000"/>
          <w:sz w:val="20"/>
        </w:rPr>
        <w:t xml:space="preserve"> </w:t>
      </w:r>
      <w:r>
        <w:rPr>
          <w:rFonts w:ascii="Arial" w:hAnsi="Arial"/>
          <w:color w:val="000000"/>
          <w:sz w:val="20"/>
        </w:rPr>
        <w:t>million as of April 30, 2024. These finance receivables are serviced by UACC. UACC retained the servicing rights to these finance receivables and receives an "at market" servicing fee. The Company also repurchased $4.2</w:t>
      </w:r>
      <w:r>
        <w:rPr>
          <w:rFonts w:ascii="Times New Roman" w:hAnsi="Times New Roman"/>
          <w:color w:val="000000"/>
          <w:sz w:val="20"/>
        </w:rPr>
        <w:t xml:space="preserve"> </w:t>
      </w:r>
      <w:r>
        <w:rPr>
          <w:rFonts w:ascii="Arial" w:hAnsi="Arial"/>
          <w:color w:val="000000"/>
          <w:sz w:val="20"/>
        </w:rPr>
        <w:t>million of the non-investment grade securities related to the 2022-2 securitization transaction for $4.8</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the primary beneficiary of the 2025-1, 2024-1, 2023-1, and 2022-2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2025-1, 2024-1,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color w:val="000000"/>
          <w:sz w:val="20"/>
        </w:rPr>
        <w:t>Refer to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condensed consolidated income statement. The 2025-1, 2023-1, and 2022-2 securitization trusts consolidated by UACC meet the definition of a CFE and the Company has elected to apply the measurement alternative when consolidating these VIEs. Upon emergence from the Prepackaged Chapter 11 Case, and application of fresh start accounting, the Successor made an accounting policy election to apply the measurement alternative to the 2024-1 CFE. Refer to Note 15 — Financial Instruments and Fair Value Measurements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UACC had three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 Refer to Note 10 — Warehouse Credit Facilities of Consolidated VIEs for further details.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pStyle w:val="TextBody"/>
        <w:bidi w:val="0"/>
        <w:jc w:val="left"/>
        <w:rPr/>
      </w:pPr>
      <w:r>
        <w:rPr/>
        <w:t> </w:t>
      </w:r>
    </w:p>
    <w:tbl>
      <w:tblPr>
        <w:tblW w:w="7854" w:type="dxa"/>
        <w:jc w:val="left"/>
        <w:tblInd w:w="0" w:type="dxa"/>
        <w:tblLayout w:type="fixed"/>
        <w:tblCellMar>
          <w:top w:w="28" w:type="dxa"/>
          <w:left w:w="28" w:type="dxa"/>
          <w:bottom w:w="28" w:type="dxa"/>
          <w:right w:w="28" w:type="dxa"/>
        </w:tblCellMar>
      </w:tblPr>
      <w:tblGrid>
        <w:gridCol w:w="2986"/>
        <w:gridCol w:w="146"/>
        <w:gridCol w:w="398"/>
        <w:gridCol w:w="1507"/>
        <w:gridCol w:w="146"/>
        <w:gridCol w:w="146"/>
        <w:gridCol w:w="217"/>
        <w:gridCol w:w="818"/>
        <w:gridCol w:w="146"/>
        <w:gridCol w:w="146"/>
        <w:gridCol w:w="211"/>
        <w:gridCol w:w="79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872,973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727,109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1 Refer to Note 10 – Warehouse Credit Facilities of Consolidated VIEs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borrowings when it is the primary beneficiary.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 retained by UACC included rated notes and unrated residual certificates issued by the 2022-1 securitization trust.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and December 31, 2024, the assets UACC retains in the unconsolidated VIEs were approximately $1.2</w:t>
      </w:r>
      <w:r>
        <w:rPr>
          <w:rFonts w:ascii="Times New Roman" w:hAnsi="Times New Roman"/>
          <w:color w:val="000000"/>
          <w:sz w:val="20"/>
        </w:rPr>
        <w:t xml:space="preserve"> </w:t>
      </w:r>
      <w:r>
        <w:rPr>
          <w:rFonts w:ascii="Arial" w:hAnsi="Arial"/>
          <w:color w:val="000000"/>
          <w:sz w:val="20"/>
        </w:rPr>
        <w:t>million and $2.2</w:t>
      </w:r>
      <w:r>
        <w:rPr>
          <w:rFonts w:ascii="Times New Roman" w:hAnsi="Times New Roman"/>
          <w:color w:val="000000"/>
          <w:sz w:val="20"/>
        </w:rPr>
        <w:t xml:space="preserve"> </w:t>
      </w:r>
      <w:r>
        <w:rPr>
          <w:rFonts w:ascii="Arial" w:hAnsi="Arial"/>
          <w:color w:val="000000"/>
          <w:sz w:val="20"/>
        </w:rPr>
        <w:t>million, respectively, and are included in "Other assets"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2023, the Company entered into a Risk Retention Financing Facility to finance the majority of its retained beneficial interests in securitizations. Refer to Note 11 — Long Term Debt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amortized cost, the carrying amount, which is the fair value, and the maximum exposure to losses of UACC's assets related to the unconsolidated VIE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9"/>
        <w:gridCol w:w="146"/>
        <w:gridCol w:w="356"/>
        <w:gridCol w:w="992"/>
        <w:gridCol w:w="146"/>
        <w:gridCol w:w="146"/>
        <w:gridCol w:w="247"/>
        <w:gridCol w:w="686"/>
        <w:gridCol w:w="146"/>
        <w:gridCol w:w="146"/>
        <w:gridCol w:w="260"/>
        <w:gridCol w:w="728"/>
        <w:gridCol w:w="146"/>
        <w:gridCol w:w="146"/>
        <w:gridCol w:w="146"/>
        <w:gridCol w:w="356"/>
        <w:gridCol w:w="992"/>
        <w:gridCol w:w="146"/>
        <w:gridCol w:w="146"/>
        <w:gridCol w:w="247"/>
        <w:gridCol w:w="686"/>
        <w:gridCol w:w="146"/>
        <w:gridCol w:w="146"/>
        <w:gridCol w:w="260"/>
        <w:gridCol w:w="728"/>
        <w:gridCol w:w="196"/>
      </w:tblGrid>
      <w:tr>
        <w:trPr/>
        <w:tc>
          <w:tcPr>
            <w:tcW w:w="1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and nine months ended September 30, 2024, the Company reported the ecommerce operations and used vehicle dealership business as discontinued operations.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nine months ended September 30, 2024, the Company incurred charges of approximately $0.2</w:t>
      </w:r>
      <w:r>
        <w:rPr>
          <w:rFonts w:ascii="Times New Roman" w:hAnsi="Times New Roman"/>
          <w:color w:val="000000"/>
          <w:sz w:val="20"/>
        </w:rPr>
        <w:t xml:space="preserve"> </w:t>
      </w:r>
      <w:r>
        <w:rPr>
          <w:rFonts w:ascii="Arial" w:hAnsi="Arial"/>
          <w:color w:val="000000"/>
          <w:sz w:val="20"/>
        </w:rPr>
        <w:t>million and $15.8</w:t>
      </w:r>
      <w:r>
        <w:rPr>
          <w:rFonts w:ascii="Times New Roman" w:hAnsi="Times New Roman"/>
          <w:color w:val="000000"/>
          <w:sz w:val="20"/>
        </w:rPr>
        <w:t xml:space="preserve"> </w:t>
      </w:r>
      <w:r>
        <w:rPr>
          <w:rFonts w:ascii="Arial" w:hAnsi="Arial"/>
          <w:color w:val="000000"/>
          <w:sz w:val="20"/>
        </w:rPr>
        <w:t>million, respectively for severance and other personnel-related costs and approximately $0.4</w:t>
      </w:r>
      <w:r>
        <w:rPr>
          <w:rFonts w:ascii="Times New Roman" w:hAnsi="Times New Roman"/>
          <w:color w:val="000000"/>
          <w:sz w:val="20"/>
        </w:rPr>
        <w:t xml:space="preserve"> </w:t>
      </w:r>
      <w:r>
        <w:rPr>
          <w:rFonts w:ascii="Arial" w:hAnsi="Arial"/>
          <w:color w:val="000000"/>
          <w:sz w:val="20"/>
        </w:rPr>
        <w:t>million and $13.9</w:t>
      </w:r>
      <w:r>
        <w:rPr>
          <w:rFonts w:ascii="Times New Roman" w:hAnsi="Times New Roman"/>
          <w:color w:val="000000"/>
          <w:sz w:val="20"/>
        </w:rPr>
        <w:t xml:space="preserve"> </w:t>
      </w:r>
      <w:r>
        <w:rPr>
          <w:rFonts w:ascii="Arial" w:hAnsi="Arial"/>
          <w:color w:val="000000"/>
          <w:sz w:val="20"/>
        </w:rPr>
        <w:t>million, respectively for contract and lease termination costs as a result of the Ecommerce Wind-Down recorded in "Net loss from discontinued operations"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income and expense line items from discontinued operations as reported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48"/>
        <w:gridCol w:w="146"/>
        <w:gridCol w:w="528"/>
        <w:gridCol w:w="1212"/>
        <w:gridCol w:w="166"/>
        <w:gridCol w:w="146"/>
        <w:gridCol w:w="146"/>
        <w:gridCol w:w="462"/>
        <w:gridCol w:w="1389"/>
        <w:gridCol w:w="166"/>
        <w:gridCol w:w="146"/>
        <w:gridCol w:w="370"/>
        <w:gridCol w:w="1114"/>
        <w:gridCol w:w="166"/>
        <w:gridCol w:w="146"/>
        <w:gridCol w:w="146"/>
        <w:gridCol w:w="295"/>
        <w:gridCol w:w="1097"/>
        <w:gridCol w:w="216"/>
      </w:tblGrid>
      <w:tr>
        <w:trPr/>
        <w:tc>
          <w:tcPr>
            <w:tcW w:w="2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to</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47,320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140,714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189,669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43,673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142,343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186,016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39,602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(loss) on disposal of long 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(25,977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(26,728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income (loss) from discontinued operations for the period from January 1, 2025, to January 14, 2025, was not 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classes of assets and liabilities from discontinued operations as reported in the condensed consolidated balance sheets (in thousands):</w:t>
      </w:r>
      <w:r>
        <w:rPr>
          <w:rFonts w:ascii="Times New Roman" w:hAnsi="Times New Roman"/>
          <w:color w:val="000000"/>
          <w:sz w:val="20"/>
        </w:rPr>
        <w:t xml:space="preserve"> </w:t>
      </w:r>
    </w:p>
    <w:p>
      <w:pPr>
        <w:pStyle w:val="TextBody"/>
        <w:bidi w:val="0"/>
        <w:jc w:val="left"/>
        <w:rPr/>
      </w:pPr>
      <w:r>
        <w:rPr/>
        <w:t> </w:t>
      </w:r>
    </w:p>
    <w:tbl>
      <w:tblPr>
        <w:tblW w:w="6671" w:type="dxa"/>
        <w:jc w:val="left"/>
        <w:tblInd w:w="0" w:type="dxa"/>
        <w:tblLayout w:type="fixed"/>
        <w:tblCellMar>
          <w:top w:w="28" w:type="dxa"/>
          <w:left w:w="28" w:type="dxa"/>
          <w:bottom w:w="28" w:type="dxa"/>
          <w:right w:w="28" w:type="dxa"/>
        </w:tblCellMar>
      </w:tblPr>
      <w:tblGrid>
        <w:gridCol w:w="3496"/>
        <w:gridCol w:w="146"/>
        <w:gridCol w:w="408"/>
        <w:gridCol w:w="822"/>
        <w:gridCol w:w="146"/>
        <w:gridCol w:w="146"/>
        <w:gridCol w:w="146"/>
        <w:gridCol w:w="309"/>
        <w:gridCol w:w="861"/>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6.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on November 13, 2024, the Company commenced the Prepackaged Chapter 11 Case. On January 14, 2025, the Effective Date, the conditions to the effectiveness of the Plan were satisfied or waived and the Plan became effective. On January 14, 2025, the Company emerged from the Prepackaged Chapter 11 Case. On the Effective Date, each holder of the Notes received a pro rata share of 92.94% of the New Common Stock, (subject to dilution) and all of the Company’s outstanding obligations under the Notes and the Indenture were deemed fully satisfied and discharged. There were no other creditors of the Company impaired in connection with the Prepackaged Chapter 11 Case.</w:t>
      </w:r>
    </w:p>
    <w:p>
      <w:pPr>
        <w:pStyle w:val="TextBody"/>
        <w:bidi w:val="0"/>
        <w:jc w:val="left"/>
        <w:rPr>
          <w:rFonts w:ascii="Times New Roman" w:hAnsi="Times New Roman"/>
          <w:sz w:val="20"/>
        </w:rPr>
      </w:pPr>
      <w:r>
        <w:rPr>
          <w:rFonts w:ascii="Arial" w:hAnsi="Arial"/>
          <w:color w:val="000000"/>
          <w:sz w:val="20"/>
        </w:rPr>
        <w:t>The Company adopted an Amended and Restated Certificate of Incorporation (the “Certificate of Incorporation”) to, among other changes to its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the New Common Stock as of the Effective Date.</w:t>
      </w:r>
    </w:p>
    <w:p>
      <w:pPr>
        <w:pStyle w:val="TextBody"/>
        <w:bidi w:val="0"/>
        <w:jc w:val="left"/>
        <w:rPr>
          <w:rFonts w:ascii="Times New Roman" w:hAnsi="Times New Roman"/>
          <w:sz w:val="20"/>
        </w:rPr>
      </w:pPr>
      <w:r>
        <w:rPr>
          <w:rFonts w:ascii="Arial" w:hAnsi="Arial"/>
          <w:color w:val="000000"/>
          <w:sz w:val="20"/>
        </w:rPr>
        <w:t>On the Effective Date, the Company entered into the Warrant Agreement with Equiniti Trust Company LLC, as warrant agent. In accordance with the Plan and pursuant to the Warrant Agreement, on the Effective Date, the Company issued the Warrants to purchase an aggregate of 364,516</w:t>
      </w:r>
      <w:r>
        <w:rPr>
          <w:rFonts w:ascii="Times New Roman" w:hAnsi="Times New Roman"/>
          <w:color w:val="000000"/>
          <w:sz w:val="20"/>
        </w:rPr>
        <w:t xml:space="preserve"> </w:t>
      </w:r>
      <w:r>
        <w:rPr>
          <w:rFonts w:ascii="Arial" w:hAnsi="Arial"/>
          <w:color w:val="000000"/>
          <w:sz w:val="20"/>
        </w:rPr>
        <w:t>shares of the New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from the issuance date.</w:t>
      </w:r>
    </w:p>
    <w:p>
      <w:pPr>
        <w:pStyle w:val="TextBody"/>
        <w:bidi w:val="0"/>
        <w:jc w:val="left"/>
        <w:rPr>
          <w:rFonts w:ascii="Arial" w:hAnsi="Arial"/>
          <w:color w:val="000000"/>
          <w:sz w:val="20"/>
        </w:rPr>
      </w:pPr>
      <w:r>
        <w:rPr>
          <w:rFonts w:ascii="Arial" w:hAnsi="Arial"/>
          <w:color w:val="000000"/>
          <w:sz w:val="20"/>
        </w:rPr>
        <w:t>In connection with the emergence from the Prepackaged Chapter 11 Case and in accordance with ASC Topic 852, the Company qualified for and adopted fresh start accounting on the Effective Date. The Company was required to adopt fresh start accounting because (i) the holders of existing voting shares of the Predecessor received less than 50% of the voting shares of the Successor Company, and (ii) the reorganization value of the assets immediately prior to confirmation of the Plan was less than the post-petition liabilities and allowed claims. In accordance with ASC Topic 852, with the application of fresh start accounting, the Company allocated its equity value to its individual assets and liabilities based on their estimated fair values. As a result of the application of fresh start accounting and the effects of the implementation of the Plan, the condensed consolidated financial statements after January 14, 2025, are not comparable with the condensed consolidated financial statements as of or prior to that date.</w:t>
      </w:r>
    </w:p>
    <w:p>
      <w:pPr>
        <w:pStyle w:val="TextBody"/>
        <w:bidi w:val="0"/>
        <w:spacing w:before="120" w:after="283"/>
        <w:jc w:val="both"/>
        <w:rPr>
          <w:rFonts w:ascii="Arial" w:hAnsi="Arial"/>
          <w:b/>
          <w:i/>
          <w:color w:val="000000"/>
          <w:sz w:val="20"/>
        </w:rPr>
      </w:pPr>
      <w:r>
        <w:rPr>
          <w:rFonts w:ascii="Arial" w:hAnsi="Arial"/>
          <w:b/>
          <w:i/>
          <w:color w:val="000000"/>
          <w:sz w:val="20"/>
        </w:rPr>
        <w:t>Reorganization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accordance with ASC Topic 852, with the application of fresh start accounting, the Company allocates the equity value to its individual assets and liabilities based on their estimated fair values in conformity with ASC Topic 820, Fair Value.</w:t>
      </w:r>
    </w:p>
    <w:p>
      <w:pPr>
        <w:pStyle w:val="TextBody"/>
        <w:bidi w:val="0"/>
        <w:spacing w:before="120" w:after="283"/>
        <w:jc w:val="both"/>
        <w:rPr>
          <w:rFonts w:ascii="Times New Roman" w:hAnsi="Times New Roman"/>
          <w:sz w:val="20"/>
        </w:rPr>
      </w:pPr>
      <w:r>
        <w:rPr>
          <w:rFonts w:ascii="Arial" w:hAnsi="Arial"/>
          <w:color w:val="000000"/>
          <w:sz w:val="20"/>
        </w:rPr>
        <w:t>As set forth in the Plan and the disclosure statement, the value of the Successor Company was assigned to its equity and estimated to be between $115.6</w:t>
      </w:r>
      <w:r>
        <w:rPr>
          <w:rFonts w:ascii="Times New Roman" w:hAnsi="Times New Roman"/>
          <w:color w:val="000000"/>
          <w:sz w:val="20"/>
        </w:rPr>
        <w:t xml:space="preserve"> </w:t>
      </w:r>
      <w:r>
        <w:rPr>
          <w:rFonts w:ascii="Arial" w:hAnsi="Arial"/>
          <w:color w:val="000000"/>
          <w:sz w:val="20"/>
        </w:rPr>
        <w:t>million and $179.4</w:t>
      </w:r>
      <w:r>
        <w:rPr>
          <w:rFonts w:ascii="Times New Roman" w:hAnsi="Times New Roman"/>
          <w:color w:val="000000"/>
          <w:sz w:val="20"/>
        </w:rPr>
        <w:t xml:space="preserve"> </w:t>
      </w:r>
      <w:r>
        <w:rPr>
          <w:rFonts w:ascii="Arial" w:hAnsi="Arial"/>
          <w:color w:val="000000"/>
          <w:sz w:val="20"/>
        </w:rPr>
        <w:t>million. Based on the estimates and assumptions discussed below, the Company estimated the Successor’s equity value to be $164.5</w:t>
      </w:r>
      <w:r>
        <w:rPr>
          <w:rFonts w:ascii="Times New Roman" w:hAnsi="Times New Roman"/>
          <w:color w:val="000000"/>
          <w:sz w:val="20"/>
        </w:rPr>
        <w:t xml:space="preserve"> </w:t>
      </w:r>
      <w:r>
        <w:rPr>
          <w:rFonts w:ascii="Arial" w:hAnsi="Arial"/>
          <w:color w:val="000000"/>
          <w:sz w:val="20"/>
        </w:rPr>
        <w:t>million for financial reporting purposes, which is within the range of equity value per the Plan. The Company estimated the enterprise value and corresponding equity value utilizing two valuation methods: a comparable public company analysis, and a discounted cash flow (“DCF”) method.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DCF analysis is a forward-looking enterprise valuation methodology that estimates fair value by calculating the present value of expected future cash flows to be generated plus a present value of the estimated terminal value. The Company established an estimate of future cash flows through December 31, 2029, based on the financial projections and assumptions utilized in the Company’s disclosure statement to the Plan, which were derived from earnings forecasts and assumptions regarding growth and profit projections. A terminal value was calculated using the constant growth method based on the projected cash flows for the final year of the forecast period. The cash flow assumptions used in the DCF analysis reflected the Company’s best estimates at the time the analysis was prepared.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selected public companies analysis is based on the enterprise values of selected publicly traded companies that have operating and financial characteristics comparable in certain respects to the Company. Under this methodology, certain financial multiples that measure financial performance and value are calculated for the selected company. A reference range was determined utilizing such multiples and is applied to certain of the Company's financial metrics to imply an estimated equity value for the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reconciles the enterprise value to the estimated fair value of the Successor Common Stock as of the Effective Date (in thousands, except per share data):</w:t>
      </w:r>
    </w:p>
    <w:p>
      <w:pPr>
        <w:pStyle w:val="TextBody"/>
        <w:bidi w:val="0"/>
        <w:jc w:val="left"/>
        <w:rPr/>
      </w:pPr>
      <w:r>
        <w:rPr/>
        <w:t> </w:t>
      </w:r>
    </w:p>
    <w:tbl>
      <w:tblPr>
        <w:tblW w:w="6080" w:type="dxa"/>
        <w:jc w:val="left"/>
        <w:tblInd w:w="0" w:type="dxa"/>
        <w:tblLayout w:type="fixed"/>
        <w:tblCellMar>
          <w:top w:w="28" w:type="dxa"/>
          <w:left w:w="28" w:type="dxa"/>
          <w:bottom w:w="28" w:type="dxa"/>
          <w:right w:w="28" w:type="dxa"/>
        </w:tblCellMar>
      </w:tblPr>
      <w:tblGrid>
        <w:gridCol w:w="4431"/>
        <w:gridCol w:w="146"/>
        <w:gridCol w:w="211"/>
        <w:gridCol w:w="961"/>
        <w:gridCol w:w="33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Warehouse credit facilities of 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363,718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365,963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Successor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issued upon 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5,163,109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 share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reconciliation of the Company’s enterprise value to reorganization value as of the Effective Date is as follows: (in thousands):</w:t>
      </w:r>
    </w:p>
    <w:p>
      <w:pPr>
        <w:pStyle w:val="TextBody"/>
        <w:bidi w:val="0"/>
        <w:jc w:val="left"/>
        <w:rPr/>
      </w:pPr>
      <w:r>
        <w:rPr/>
        <w:t> </w:t>
      </w:r>
    </w:p>
    <w:tbl>
      <w:tblPr>
        <w:tblW w:w="5280" w:type="dxa"/>
        <w:jc w:val="left"/>
        <w:tblInd w:w="0" w:type="dxa"/>
        <w:tblLayout w:type="fixed"/>
        <w:tblCellMar>
          <w:top w:w="28" w:type="dxa"/>
          <w:left w:w="28" w:type="dxa"/>
          <w:bottom w:w="28" w:type="dxa"/>
          <w:right w:w="28" w:type="dxa"/>
        </w:tblCellMar>
      </w:tblPr>
      <w:tblGrid>
        <w:gridCol w:w="3796"/>
        <w:gridCol w:w="146"/>
        <w:gridCol w:w="211"/>
        <w:gridCol w:w="796"/>
        <w:gridCol w:w="33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61,536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value of Successor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955,704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enterprise value and corresponding equity value are dependent upon achieving the future financial results set forth in the Company’s projections,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 Company cannot assure that the estimates, assumptions, valuations or financial projections will be realized and actual results could vary materially.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results of the Company's analysis indicated that the principal assets requiring fair value adjustments on the Effective Date include finance receivables held for sale, identified intangible assets and leased assets. Further detail regarding the valuation process is described below.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the Effective Date, the finance receivables held for sale, net were reclassified to finance receivables at fair value, refer to Note 2 — Summary of Significant Accounting Policies for further details. To estimate the fair value of the finance receivables the Company utilized the valuation methodologies which are used to value finance receivables at fair value on a recurring basis. Refer to the Fair Value of Financial Instruments Not Carried at Fair Value section in</w:t>
      </w:r>
      <w:r>
        <w:rPr>
          <w:rFonts w:ascii="Times New Roman" w:hAnsi="Times New Roman"/>
          <w:color w:val="000000"/>
          <w:sz w:val="20"/>
        </w:rPr>
        <w:t xml:space="preserve"> </w:t>
      </w:r>
      <w:r>
        <w:rPr>
          <w:rFonts w:ascii="Arial" w:hAnsi="Arial"/>
          <w:color w:val="000000"/>
          <w:sz w:val="20"/>
        </w:rPr>
        <w:t>Note 15 — Financial Instruments and Fair Value Measurements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Intangible Assets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identified intangible assets of $14.2</w:t>
      </w:r>
      <w:r>
        <w:rPr>
          <w:rFonts w:ascii="Times New Roman" w:hAnsi="Times New Roman"/>
          <w:color w:val="000000"/>
          <w:sz w:val="20"/>
        </w:rPr>
        <w:t xml:space="preserve"> </w:t>
      </w:r>
      <w:r>
        <w:rPr>
          <w:rFonts w:ascii="Arial" w:hAnsi="Arial"/>
          <w:color w:val="000000"/>
          <w:sz w:val="20"/>
        </w:rPr>
        <w:t>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pStyle w:val="TextBody"/>
        <w:bidi w:val="0"/>
        <w:jc w:val="left"/>
        <w:rPr>
          <w:rFonts w:ascii="Times New Roman" w:hAnsi="Times New Roman"/>
          <w:sz w:val="20"/>
        </w:rPr>
      </w:pPr>
      <w:r>
        <w:rPr>
          <w:rFonts w:ascii="Arial" w:hAnsi="Arial"/>
          <w:color w:val="000000"/>
          <w:sz w:val="20"/>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customer-related intangible assets that were valued using the multi-period excess earnings method, the attrition rate was estimated to be 10% and the discount rate 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Lease Liabilities and Right of Use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present value of lease liabilities was measured as the present value of the remaining lease payments, as if the leases were new leases as of the Effective Date. The Company used its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Consolidated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adjustments set forth in the following condensed consolidated balance sheet as of January 14, 2025 reflect the effects of the transactions contemplated by the Plan and executed on the Effective date (reflected in the column “Reorganization Adjustments”), and fair value and other required accounting adjustments resulting from the adoption of fresh start accounting (reflected in the column “Fresh Start Accounting Adjustments”), (in thousands):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6"/>
        <w:gridCol w:w="146"/>
        <w:gridCol w:w="211"/>
        <w:gridCol w:w="991"/>
        <w:gridCol w:w="166"/>
        <w:gridCol w:w="146"/>
        <w:gridCol w:w="211"/>
        <w:gridCol w:w="991"/>
        <w:gridCol w:w="166"/>
        <w:gridCol w:w="146"/>
        <w:gridCol w:w="466"/>
        <w:gridCol w:w="146"/>
        <w:gridCol w:w="269"/>
        <w:gridCol w:w="1075"/>
        <w:gridCol w:w="166"/>
        <w:gridCol w:w="146"/>
        <w:gridCol w:w="466"/>
        <w:gridCol w:w="146"/>
        <w:gridCol w:w="211"/>
        <w:gridCol w:w="781"/>
        <w:gridCol w:w="193"/>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January 14,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Reorganization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Fresh Start 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Successor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825,012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365,963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791,217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Reorganization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 Represents write-off of prepaid asset related to predecessor directors and officers insurance tail policy.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2. Represents the settlement of the Company's pre-petition Convertible Notes, as of the Effective date, which is calculated as follows (in thousands):</w:t>
      </w:r>
    </w:p>
    <w:tbl>
      <w:tblPr>
        <w:tblW w:w="8815" w:type="dxa"/>
        <w:jc w:val="left"/>
        <w:tblInd w:w="0" w:type="dxa"/>
        <w:tblLayout w:type="fixed"/>
        <w:tblCellMar>
          <w:top w:w="28" w:type="dxa"/>
          <w:left w:w="28" w:type="dxa"/>
          <w:bottom w:w="28" w:type="dxa"/>
          <w:right w:w="28" w:type="dxa"/>
        </w:tblCellMar>
      </w:tblPr>
      <w:tblGrid>
        <w:gridCol w:w="7486"/>
        <w:gridCol w:w="146"/>
        <w:gridCol w:w="211"/>
        <w:gridCol w:w="781"/>
        <w:gridCol w:w="191"/>
      </w:tblGrid>
      <w:tr>
        <w:trPr/>
        <w:tc>
          <w:tcPr>
            <w:tcW w:w="7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interest on convertible senior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Issuance of 92.94% of Successor common shares to prepetition convertible note holders </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1D1C1D"/>
          <w:sz w:val="13"/>
        </w:rPr>
        <w:t>(1)</w:t>
      </w:r>
      <w:r>
        <w:rPr>
          <w:rFonts w:ascii="Times New Roman" w:hAnsi="Times New Roman"/>
          <w:color w:val="1D1C1D"/>
          <w:sz w:val="20"/>
        </w:rPr>
        <w:t xml:space="preserve"> </w:t>
      </w:r>
      <w:r>
        <w:rPr>
          <w:rFonts w:ascii="Arial" w:hAnsi="Arial"/>
          <w:color w:val="1D1C1D"/>
          <w:sz w:val="18"/>
        </w:rPr>
        <w:t>Note the total issuances of Successor equity in the amount of $164.4</w:t>
      </w:r>
      <w:r>
        <w:rPr>
          <w:rFonts w:ascii="Times New Roman" w:hAnsi="Times New Roman"/>
          <w:color w:val="1D1C1D"/>
          <w:sz w:val="20"/>
        </w:rPr>
        <w:t xml:space="preserve"> </w:t>
      </w:r>
      <w:r>
        <w:rPr>
          <w:rFonts w:ascii="Arial" w:hAnsi="Arial"/>
          <w:color w:val="1D1C1D"/>
          <w:sz w:val="18"/>
        </w:rPr>
        <w:t>million was issued to Predecessor note holders in the amount of $150.2</w:t>
      </w:r>
      <w:r>
        <w:rPr>
          <w:rFonts w:ascii="Times New Roman" w:hAnsi="Times New Roman"/>
          <w:color w:val="1D1C1D"/>
          <w:sz w:val="20"/>
        </w:rPr>
        <w:t xml:space="preserve"> </w:t>
      </w:r>
      <w:r>
        <w:rPr>
          <w:rFonts w:ascii="Arial" w:hAnsi="Arial"/>
          <w:color w:val="1D1C1D"/>
          <w:sz w:val="18"/>
        </w:rPr>
        <w:t>million and Predecessor equity holders in the amount of $14.2</w:t>
      </w:r>
      <w:r>
        <w:rPr>
          <w:rFonts w:ascii="Times New Roman" w:hAnsi="Times New Roman"/>
          <w:color w:val="1D1C1D"/>
          <w:sz w:val="20"/>
        </w:rPr>
        <w:t xml:space="preserve"> </w:t>
      </w:r>
      <w:r>
        <w:rPr>
          <w:rFonts w:ascii="Arial" w:hAnsi="Arial"/>
          <w:color w:val="1D1C1D"/>
          <w:sz w:val="18"/>
        </w:rPr>
        <w:t>million. The total issuance to the Predecessor equity holders of $14.2</w:t>
      </w:r>
      <w:r>
        <w:rPr>
          <w:rFonts w:ascii="Times New Roman" w:hAnsi="Times New Roman"/>
          <w:color w:val="1D1C1D"/>
          <w:sz w:val="20"/>
        </w:rPr>
        <w:t xml:space="preserve"> </w:t>
      </w:r>
      <w:r>
        <w:rPr>
          <w:rFonts w:ascii="Arial" w:hAnsi="Arial"/>
          <w:color w:val="1D1C1D"/>
          <w:sz w:val="18"/>
        </w:rPr>
        <w:t>million included warrants of $2.8</w:t>
      </w:r>
      <w:r>
        <w:rPr>
          <w:rFonts w:ascii="Times New Roman" w:hAnsi="Times New Roman"/>
          <w:color w:val="1D1C1D"/>
          <w:sz w:val="20"/>
        </w:rPr>
        <w:t xml:space="preserve"> </w:t>
      </w:r>
      <w:r>
        <w:rPr>
          <w:rFonts w:ascii="Arial" w:hAnsi="Arial"/>
          <w:color w:val="1D1C1D"/>
          <w:sz w:val="18"/>
        </w:rPr>
        <w:t>million and 7.06%</w:t>
      </w:r>
      <w:r>
        <w:rPr>
          <w:rFonts w:ascii="Times New Roman" w:hAnsi="Times New Roman"/>
          <w:color w:val="1D1C1D"/>
          <w:sz w:val="20"/>
        </w:rPr>
        <w:t xml:space="preserve"> </w:t>
      </w:r>
      <w:r>
        <w:rPr>
          <w:rFonts w:ascii="Arial" w:hAnsi="Arial"/>
          <w:color w:val="1D1C1D"/>
          <w:sz w:val="18"/>
        </w:rPr>
        <w:t>of Successor common shares totaling $11.4</w:t>
      </w:r>
      <w:r>
        <w:rPr>
          <w:rFonts w:ascii="Times New Roman" w:hAnsi="Times New Roman"/>
          <w:color w:val="1D1C1D"/>
          <w:sz w:val="20"/>
        </w:rPr>
        <w:t xml:space="preserve"> </w:t>
      </w:r>
      <w:r>
        <w:rPr>
          <w:rFonts w:ascii="Arial" w:hAnsi="Arial"/>
          <w:color w:val="1D1C1D"/>
          <w:sz w:val="18"/>
        </w:rPr>
        <w:t>million.</w:t>
      </w:r>
    </w:p>
    <w:p>
      <w:pPr>
        <w:pStyle w:val="TextBody"/>
        <w:bidi w:val="0"/>
        <w:jc w:val="left"/>
        <w:rPr>
          <w:rFonts w:ascii="Arial" w:hAnsi="Arial"/>
          <w:color w:val="000000"/>
          <w:sz w:val="20"/>
        </w:rPr>
      </w:pPr>
      <w:r>
        <w:rPr>
          <w:rFonts w:ascii="Arial" w:hAnsi="Arial"/>
          <w:color w:val="000000"/>
          <w:sz w:val="20"/>
        </w:rPr>
        <w:t>3. Represents the cancellation of Predecessor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4. Represents the issuance of Successor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5. Represents the cancellation of Predecessor additional paid-in capital.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6. Represents the fair value of 5,163,109</w:t>
      </w:r>
      <w:r>
        <w:rPr>
          <w:rFonts w:ascii="Times New Roman" w:hAnsi="Times New Roman"/>
          <w:color w:val="000000"/>
          <w:sz w:val="20"/>
        </w:rPr>
        <w:t xml:space="preserve"> </w:t>
      </w:r>
      <w:r>
        <w:rPr>
          <w:rFonts w:ascii="Arial" w:hAnsi="Arial"/>
          <w:color w:val="000000"/>
          <w:sz w:val="20"/>
        </w:rPr>
        <w:t>Successor common shares totaling $161.7</w:t>
      </w:r>
      <w:r>
        <w:rPr>
          <w:rFonts w:ascii="Times New Roman" w:hAnsi="Times New Roman"/>
          <w:color w:val="000000"/>
          <w:sz w:val="20"/>
        </w:rPr>
        <w:t xml:space="preserve"> </w:t>
      </w:r>
      <w:r>
        <w:rPr>
          <w:rFonts w:ascii="Arial" w:hAnsi="Arial"/>
          <w:color w:val="000000"/>
          <w:sz w:val="20"/>
        </w:rPr>
        <w:t>million and 364,516</w:t>
      </w:r>
      <w:r>
        <w:rPr>
          <w:rFonts w:ascii="Times New Roman" w:hAnsi="Times New Roman"/>
          <w:color w:val="000000"/>
          <w:sz w:val="20"/>
        </w:rPr>
        <w:t xml:space="preserve"> </w:t>
      </w:r>
      <w:r>
        <w:rPr>
          <w:rFonts w:ascii="Arial" w:hAnsi="Arial"/>
          <w:color w:val="000000"/>
          <w:sz w:val="20"/>
        </w:rPr>
        <w:t>Successor warrants totaling $2.8</w:t>
      </w:r>
      <w:r>
        <w:rPr>
          <w:rFonts w:ascii="Times New Roman" w:hAnsi="Times New Roman"/>
          <w:color w:val="000000"/>
          <w:sz w:val="20"/>
        </w:rPr>
        <w:t xml:space="preserve"> </w:t>
      </w:r>
      <w:r>
        <w:rPr>
          <w:rFonts w:ascii="Arial" w:hAnsi="Arial"/>
          <w:color w:val="000000"/>
          <w:sz w:val="20"/>
        </w:rPr>
        <w:t>million. This results in total Successor equity in the amount of $164.5</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Fresh Start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7. Represents reclassification of finance receivables held for sale to finance receivables at fair value due to a change in Accounting Policy in accordance with fresh start accounting. Upon reclassification, the finance receivables were adjusted to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8. Represents a fair value adjustment to property, plant and equipment,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9. Represents a fair value adjustment to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10. Represents a fair value adjustment to record the initial measurement of the operating lease right-of-use assets to the amount of the operating lease liabilities in accordance with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11. Represents a fair value adjustment to other assets, which includes the write-off of debt issuance costs of warehouse credit facilities.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1D1C1D"/>
          <w:sz w:val="20"/>
        </w:rPr>
        <w:t>12. Represents an adjustment to long-term debt, which includes the write-off of debt issuance costs of $2.9</w:t>
      </w:r>
      <w:r>
        <w:rPr>
          <w:rFonts w:ascii="Times New Roman" w:hAnsi="Times New Roman"/>
          <w:color w:val="1D1C1D"/>
          <w:sz w:val="20"/>
        </w:rPr>
        <w:t xml:space="preserve"> </w:t>
      </w:r>
      <w:r>
        <w:rPr>
          <w:rFonts w:ascii="Arial" w:hAnsi="Arial"/>
          <w:color w:val="1D1C1D"/>
          <w:sz w:val="20"/>
        </w:rPr>
        <w:t>million and an adjustment related to the fair value option election for the 2024-1 securitization debt, which resulted in a fair value adjustment to the securitization debt of $1.6</w:t>
      </w:r>
      <w:r>
        <w:rPr>
          <w:rFonts w:ascii="Times New Roman" w:hAnsi="Times New Roman"/>
          <w:color w:val="1D1C1D"/>
          <w:sz w:val="20"/>
        </w:rPr>
        <w:t xml:space="preserve"> </w:t>
      </w:r>
      <w:r>
        <w:rPr>
          <w:rFonts w:ascii="Arial" w:hAnsi="Arial"/>
          <w:color w:val="1D1C1D"/>
          <w:sz w:val="20"/>
        </w:rPr>
        <w:t>million</w:t>
      </w:r>
      <w:r>
        <w:rPr>
          <w:rFonts w:ascii="Arial" w:hAnsi="Arial"/>
          <w:color w:val="000000"/>
          <w:sz w:val="20"/>
        </w:rPr>
        <w:t>. The fair value of the debt was determined using a non-binding quote from broker dealers.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13. Represents the cumulative impact, as of the Effective Date, to accumulated deficit from the reorganization adjustments and fresh start accounting adjustments. The cumulative impact to accumulated deficit from the reorganization adjustments is calculated, as follows (in thousands):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5956"/>
        <w:gridCol w:w="146"/>
        <w:gridCol w:w="211"/>
        <w:gridCol w:w="93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to Predecessor common stock and 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and common stock issued to Predecessor equity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adjustment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Cumulative impact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b/>
          <w:i/>
          <w:color w:val="000000"/>
          <w:sz w:val="20"/>
        </w:rPr>
      </w:pPr>
      <w:r>
        <w:rPr>
          <w:rFonts w:ascii="Arial" w:hAnsi="Arial"/>
          <w:b/>
          <w:i/>
          <w:color w:val="000000"/>
          <w:sz w:val="20"/>
        </w:rPr>
        <w:t>Reorganization items,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applied ASC 852 in preparing the condensed consolidated financial statements starting on the Prepackaged Chapter 11 Case petition date. ASC 852 requires the financial statements, for the periods subsequent to the petition date and up to and including the Effective Date,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Certain expenses resulting from and recognized during the Company's bankruptcy proceedings, gains on the settlement of liabilities under the Plan and the net impact of fresh start accounting adjustments are</w:t>
      </w:r>
      <w:r>
        <w:rPr>
          <w:rFonts w:ascii="Times New Roman" w:hAnsi="Times New Roman"/>
          <w:color w:val="000000"/>
          <w:sz w:val="20"/>
        </w:rPr>
        <w:t xml:space="preserve"> </w:t>
      </w:r>
      <w:r>
        <w:rPr>
          <w:rFonts w:ascii="Arial" w:hAnsi="Arial"/>
          <w:color w:val="000000"/>
          <w:sz w:val="20"/>
        </w:rPr>
        <w:t>recorded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Reorganization items, net in the Company's Condensed Consolidated Statements of Operations. Reorganization items, net consisted of the following (in thousands):</w:t>
      </w:r>
    </w:p>
    <w:p>
      <w:pPr>
        <w:pStyle w:val="TextBody"/>
        <w:bidi w:val="0"/>
        <w:jc w:val="left"/>
        <w:rPr/>
      </w:pPr>
      <w:r>
        <w:rPr/>
        <w:t> </w:t>
      </w:r>
    </w:p>
    <w:tbl>
      <w:tblPr>
        <w:tblW w:w="8754" w:type="dxa"/>
        <w:jc w:val="left"/>
        <w:tblInd w:w="0" w:type="dxa"/>
        <w:tblLayout w:type="fixed"/>
        <w:tblCellMar>
          <w:top w:w="28" w:type="dxa"/>
          <w:left w:w="28" w:type="dxa"/>
          <w:bottom w:w="28" w:type="dxa"/>
          <w:right w:w="28" w:type="dxa"/>
        </w:tblCellMar>
      </w:tblPr>
      <w:tblGrid>
        <w:gridCol w:w="4771"/>
        <w:gridCol w:w="146"/>
        <w:gridCol w:w="146"/>
        <w:gridCol w:w="727"/>
        <w:gridCol w:w="2753"/>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gain on settlement of debt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fresh start adjustments</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reorganization adjustment of other assets</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reorganization items, net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7.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7086" w:type="dxa"/>
        <w:jc w:val="left"/>
        <w:tblInd w:w="0" w:type="dxa"/>
        <w:tblLayout w:type="fixed"/>
        <w:tblCellMar>
          <w:top w:w="28" w:type="dxa"/>
          <w:left w:w="28" w:type="dxa"/>
          <w:bottom w:w="28" w:type="dxa"/>
          <w:right w:w="28" w:type="dxa"/>
        </w:tblCellMar>
      </w:tblPr>
      <w:tblGrid>
        <w:gridCol w:w="3871"/>
        <w:gridCol w:w="146"/>
        <w:gridCol w:w="324"/>
        <w:gridCol w:w="906"/>
        <w:gridCol w:w="166"/>
        <w:gridCol w:w="146"/>
        <w:gridCol w:w="146"/>
        <w:gridCol w:w="288"/>
        <w:gridCol w:w="882"/>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recorded property and equipment at fair value as of the Effective Date, as discussed in Note 6 — Fresh Start Accounting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was $0.5</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three months ended September 30, 2025 and 2024, respectively, $1.0</w:t>
      </w:r>
      <w:r>
        <w:rPr>
          <w:rFonts w:ascii="Times New Roman" w:hAnsi="Times New Roman"/>
          <w:color w:val="000000"/>
          <w:sz w:val="20"/>
        </w:rPr>
        <w:t xml:space="preserve"> </w:t>
      </w:r>
      <w:r>
        <w:rPr>
          <w:rFonts w:ascii="Arial" w:hAnsi="Arial"/>
          <w:color w:val="000000"/>
          <w:sz w:val="20"/>
        </w:rPr>
        <w:t>million for the period from January 15, 2025 to September 30, 2025, and $1.7</w:t>
      </w:r>
      <w:r>
        <w:rPr>
          <w:rFonts w:ascii="Times New Roman" w:hAnsi="Times New Roman"/>
          <w:color w:val="000000"/>
          <w:sz w:val="20"/>
        </w:rPr>
        <w:t xml:space="preserve"> </w:t>
      </w:r>
      <w:r>
        <w:rPr>
          <w:rFonts w:ascii="Arial" w:hAnsi="Arial"/>
          <w:color w:val="000000"/>
          <w:sz w:val="20"/>
        </w:rPr>
        <w:t>million for the nine months ended September 30, 2024. Depreciation and amortization expense for the period from January 1, 2025, to January 14, 2025, was not 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recorded impairment charges for "Property and equipment, net" of $2.7</w:t>
      </w:r>
      <w:r>
        <w:rPr>
          <w:rFonts w:ascii="Times New Roman" w:hAnsi="Times New Roman"/>
          <w:color w:val="000000"/>
          <w:sz w:val="20"/>
        </w:rPr>
        <w:t xml:space="preserve"> </w:t>
      </w:r>
      <w:r>
        <w:rPr>
          <w:rFonts w:ascii="Arial" w:hAnsi="Arial"/>
          <w:color w:val="000000"/>
          <w:sz w:val="20"/>
        </w:rPr>
        <w:t>million for the nine months ended September 30, 2024, related to the Company's internal-use software that no longer have a planned future use.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3"/>
        <w:gridCol w:w="146"/>
        <w:gridCol w:w="243"/>
        <w:gridCol w:w="797"/>
        <w:gridCol w:w="146"/>
        <w:gridCol w:w="146"/>
        <w:gridCol w:w="303"/>
        <w:gridCol w:w="930"/>
        <w:gridCol w:w="166"/>
        <w:gridCol w:w="146"/>
        <w:gridCol w:w="223"/>
        <w:gridCol w:w="730"/>
        <w:gridCol w:w="146"/>
        <w:gridCol w:w="146"/>
        <w:gridCol w:w="146"/>
        <w:gridCol w:w="236"/>
        <w:gridCol w:w="890"/>
        <w:gridCol w:w="146"/>
        <w:gridCol w:w="146"/>
        <w:gridCol w:w="269"/>
        <w:gridCol w:w="963"/>
        <w:gridCol w:w="166"/>
        <w:gridCol w:w="146"/>
        <w:gridCol w:w="217"/>
        <w:gridCol w:w="822"/>
        <w:gridCol w:w="197"/>
      </w:tblGrid>
      <w:tr>
        <w:trPr/>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and 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53,653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43,389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Trademarks and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104,869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expense for intangible assets was $1.0</w:t>
      </w:r>
      <w:r>
        <w:rPr>
          <w:rFonts w:ascii="Times New Roman" w:hAnsi="Times New Roman"/>
          <w:color w:val="000000"/>
          <w:sz w:val="20"/>
        </w:rPr>
        <w:t xml:space="preserve"> </w:t>
      </w:r>
      <w:r>
        <w:rPr>
          <w:rFonts w:ascii="Arial" w:hAnsi="Arial"/>
          <w:color w:val="000000"/>
          <w:sz w:val="20"/>
        </w:rPr>
        <w:t>million for the period from January 1, 2025 to January 14, 2025, $0.5</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for the three months ended September 30, 2025 and 2024, respectively, $1.4</w:t>
      </w:r>
      <w:r>
        <w:rPr>
          <w:rFonts w:ascii="Times New Roman" w:hAnsi="Times New Roman"/>
          <w:color w:val="000000"/>
          <w:sz w:val="20"/>
        </w:rPr>
        <w:t xml:space="preserve"> </w:t>
      </w:r>
      <w:r>
        <w:rPr>
          <w:rFonts w:ascii="Arial" w:hAnsi="Arial"/>
          <w:color w:val="000000"/>
          <w:sz w:val="20"/>
        </w:rPr>
        <w:t>million for the period from January 15, 2025 to September 30, 2025, and $20.3</w:t>
      </w:r>
      <w:r>
        <w:rPr>
          <w:rFonts w:ascii="Times New Roman" w:hAnsi="Times New Roman"/>
          <w:color w:val="000000"/>
          <w:sz w:val="20"/>
        </w:rPr>
        <w:t xml:space="preserve"> </w:t>
      </w:r>
      <w:r>
        <w:rPr>
          <w:rFonts w:ascii="Arial" w:hAnsi="Arial"/>
          <w:color w:val="000000"/>
          <w:sz w:val="20"/>
        </w:rPr>
        <w:t>million for the nine months ended September 30,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amortization expense for intangible assets subsequent to September 30, 2025, consists of the following (in thousands):</w:t>
      </w:r>
    </w:p>
    <w:p>
      <w:pPr>
        <w:pStyle w:val="TextBody"/>
        <w:bidi w:val="0"/>
        <w:jc w:val="left"/>
        <w:rPr/>
      </w:pPr>
      <w:r>
        <w:rPr/>
        <w:t> </w:t>
      </w:r>
    </w:p>
    <w:tbl>
      <w:tblPr>
        <w:tblW w:w="3445" w:type="dxa"/>
        <w:jc w:val="left"/>
        <w:tblInd w:w="0" w:type="dxa"/>
        <w:tblLayout w:type="fixed"/>
        <w:tblCellMar>
          <w:top w:w="28" w:type="dxa"/>
          <w:left w:w="28" w:type="dxa"/>
          <w:bottom w:w="28" w:type="dxa"/>
          <w:right w:w="28" w:type="dxa"/>
        </w:tblCellMar>
      </w:tblPr>
      <w:tblGrid>
        <w:gridCol w:w="2206"/>
        <w:gridCol w:w="146"/>
        <w:gridCol w:w="211"/>
        <w:gridCol w:w="69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Other Liabilities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other liabilities consisted of the following (in thousands):</w:t>
      </w:r>
      <w:r>
        <w:rPr>
          <w:rFonts w:ascii="Times New Roman" w:hAnsi="Times New Roman"/>
          <w:color w:val="000000"/>
          <w:sz w:val="20"/>
        </w:rPr>
        <w:t xml:space="preserve"> </w:t>
      </w:r>
    </w:p>
    <w:tbl>
      <w:tblPr>
        <w:tblW w:w="6416" w:type="dxa"/>
        <w:jc w:val="left"/>
        <w:tblInd w:w="0" w:type="dxa"/>
        <w:tblLayout w:type="fixed"/>
        <w:tblCellMar>
          <w:top w:w="28" w:type="dxa"/>
          <w:left w:w="28" w:type="dxa"/>
          <w:bottom w:w="28" w:type="dxa"/>
          <w:right w:w="28" w:type="dxa"/>
        </w:tblCellMar>
      </w:tblPr>
      <w:tblGrid>
        <w:gridCol w:w="3241"/>
        <w:gridCol w:w="146"/>
        <w:gridCol w:w="285"/>
        <w:gridCol w:w="945"/>
        <w:gridCol w:w="146"/>
        <w:gridCol w:w="146"/>
        <w:gridCol w:w="146"/>
        <w:gridCol w:w="272"/>
        <w:gridCol w:w="898"/>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Warranty and GAP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Dealer 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UACC had three</w:t>
      </w:r>
      <w:r>
        <w:rPr>
          <w:rFonts w:ascii="Times New Roman" w:hAnsi="Times New Roman"/>
          <w:color w:val="000000"/>
          <w:sz w:val="20"/>
        </w:rPr>
        <w:t xml:space="preserve"> </w:t>
      </w:r>
      <w:r>
        <w:rPr>
          <w:rFonts w:ascii="Arial" w:hAnsi="Arial"/>
          <w:color w:val="000000"/>
          <w:sz w:val="20"/>
        </w:rPr>
        <w:t>senior secured warehouse facility agreements, through consolidated VIEs, (the “Warehouse Credit Facilities”) with banking institutions. The Warehouse Credit Facilities are collateralized by eligible finance receivables and available borrowings are computed based on a percentage of eligible finance receivables. As of September 30, 2025</w:t>
      </w:r>
      <w:r>
        <w:rPr>
          <w:rFonts w:ascii="Times New Roman" w:hAnsi="Times New Roman"/>
          <w:color w:val="000000"/>
          <w:sz w:val="20"/>
        </w:rPr>
        <w:t xml:space="preserve"> </w:t>
      </w:r>
      <w:r>
        <w:rPr>
          <w:rFonts w:ascii="Arial" w:hAnsi="Arial"/>
          <w:color w:val="000000"/>
          <w:sz w:val="20"/>
        </w:rPr>
        <w:t>and December 31, 2024, the Company had excess borrowing capacity of $11.8</w:t>
      </w:r>
      <w:r>
        <w:rPr>
          <w:rFonts w:ascii="Times New Roman" w:hAnsi="Times New Roman"/>
          <w:color w:val="000000"/>
          <w:sz w:val="20"/>
        </w:rPr>
        <w:t xml:space="preserve"> </w:t>
      </w:r>
      <w:r>
        <w:rPr>
          <w:rFonts w:ascii="Arial" w:hAnsi="Arial"/>
          <w:color w:val="000000"/>
          <w:sz w:val="20"/>
        </w:rPr>
        <w:t>million and $28.2</w:t>
      </w:r>
      <w:r>
        <w:rPr>
          <w:rFonts w:ascii="Times New Roman" w:hAnsi="Times New Roman"/>
          <w:color w:val="000000"/>
          <w:sz w:val="20"/>
        </w:rPr>
        <w:t xml:space="preserve"> </w:t>
      </w:r>
      <w:r>
        <w:rPr>
          <w:rFonts w:ascii="Arial" w:hAnsi="Arial"/>
          <w:color w:val="000000"/>
          <w:sz w:val="20"/>
        </w:rPr>
        <w:t>million on UACC's Warehouse Credit Facilities,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the terms of the Warehouse Credit Facilities included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0"/>
        <w:gridCol w:w="146"/>
        <w:gridCol w:w="326"/>
        <w:gridCol w:w="1233"/>
        <w:gridCol w:w="146"/>
        <w:gridCol w:w="146"/>
        <w:gridCol w:w="287"/>
        <w:gridCol w:w="1084"/>
        <w:gridCol w:w="146"/>
        <w:gridCol w:w="146"/>
        <w:gridCol w:w="326"/>
        <w:gridCol w:w="1234"/>
        <w:gridCol w:w="195"/>
      </w:tblGrid>
      <w:tr>
        <w:trPr/>
        <w:tc>
          <w:tcPr>
            <w:tcW w:w="4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Four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19, 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July 11,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18, 2022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 termination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June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August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April 12, 2027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borrowings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223,710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192,234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8,351</w:t>
            </w:r>
          </w:p>
        </w:tc>
        <w:tc>
          <w:tcPr>
            <w:tcW w:w="1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143,514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and December 31, 2024, the Company's weighted average interest rate on the Warehouse Credit Facilities borrowings was approximately 6.02% and 6.32%,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the Company renewed Facility Two, now expiring June 2026. The aggregate borrowing limit and significant terms of the agreement remained unchanged except for an increase in the minimum liquidity covenant. On March 28, 2025, the Company renewed Facility Four, now expiring in April 2027. The</w:t>
      </w:r>
      <w:r>
        <w:rPr>
          <w:rFonts w:ascii="Times New Roman" w:hAnsi="Times New Roman"/>
          <w:color w:val="000000"/>
          <w:sz w:val="20"/>
        </w:rPr>
        <w:t xml:space="preserve"> </w:t>
      </w:r>
      <w:r>
        <w:rPr>
          <w:rFonts w:ascii="Arial" w:hAnsi="Arial"/>
          <w:color w:val="000000"/>
          <w:sz w:val="20"/>
        </w:rPr>
        <w:t>aggregate borrowing limit under this facility decreased from $225.0</w:t>
      </w:r>
      <w:r>
        <w:rPr>
          <w:rFonts w:ascii="Times New Roman" w:hAnsi="Times New Roman"/>
          <w:color w:val="000000"/>
          <w:sz w:val="20"/>
        </w:rPr>
        <w:t xml:space="preserve"> </w:t>
      </w:r>
      <w:r>
        <w:rPr>
          <w:rFonts w:ascii="Arial" w:hAnsi="Arial"/>
          <w:color w:val="000000"/>
          <w:sz w:val="20"/>
        </w:rPr>
        <w:t>million to $200.0</w:t>
      </w:r>
      <w:r>
        <w:rPr>
          <w:rFonts w:ascii="Times New Roman" w:hAnsi="Times New Roman"/>
          <w:color w:val="000000"/>
          <w:sz w:val="20"/>
        </w:rPr>
        <w:t xml:space="preserve"> </w:t>
      </w:r>
      <w:r>
        <w:rPr>
          <w:rFonts w:ascii="Arial" w:hAnsi="Arial"/>
          <w:color w:val="000000"/>
          <w:sz w:val="20"/>
        </w:rPr>
        <w:t>million and all other significant terms of the agreement remained unchanged. On July 21, 2025, the Company's Warehouse Credit Facility One expired pursuant to its terms and was not extended or renewed. The Company believes that its borrowing capacity from its other Warehouse Credit Facilities is sufficient to support its current operational needs and therefore elected not to renew this commitment. On August 29, 2025, the Company renewed Warehouse Credit Facility Three, now expiring August 28, 2026. The amendment reduced the advance rate and increased tangible net worth and minimum liquidity requirements, while the borrowing limit and all other significant terms of the agreement remained unchanged.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or any other requirements contained within the agreements would restrict access to the Warehouse Credit Facilities. Certain breaches of covenants may also result in acceleration of the repayment of borrowings prior to the scheduled maturity. As of September 30, 2025, and December 31, 2024, the Company was in compliance with all covenants related to the Warehouse Credit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11. Long Term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Debt instruments, excluding warehouse credit facilities of consolidated VIEs, which are discussed in Note 10 — Warehouse Credit Facilities of Consolidated VIEs, consisted of the following (in thousands):</w:t>
      </w:r>
    </w:p>
    <w:p>
      <w:pPr>
        <w:pStyle w:val="TextBody"/>
        <w:bidi w:val="0"/>
        <w:jc w:val="left"/>
        <w:rPr/>
      </w:pPr>
      <w:r>
        <w:rPr/>
        <w:t> </w:t>
      </w:r>
    </w:p>
    <w:tbl>
      <w:tblPr>
        <w:tblW w:w="8366" w:type="dxa"/>
        <w:jc w:val="left"/>
        <w:tblInd w:w="0" w:type="dxa"/>
        <w:tblLayout w:type="fixed"/>
        <w:tblCellMar>
          <w:top w:w="28" w:type="dxa"/>
          <w:left w:w="28" w:type="dxa"/>
          <w:bottom w:w="28" w:type="dxa"/>
          <w:right w:w="28" w:type="dxa"/>
        </w:tblCellMar>
      </w:tblPr>
      <w:tblGrid>
        <w:gridCol w:w="5191"/>
        <w:gridCol w:w="146"/>
        <w:gridCol w:w="257"/>
        <w:gridCol w:w="973"/>
        <w:gridCol w:w="146"/>
        <w:gridCol w:w="146"/>
        <w:gridCol w:w="146"/>
        <w:gridCol w:w="244"/>
        <w:gridCol w:w="926"/>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of beneficial interest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Junior 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492,144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381,366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Related Party Notes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Related Party Convertible Notes due 2030</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August 29, 2025, the Company issued $10.0</w:t>
      </w:r>
      <w:r>
        <w:rPr>
          <w:rFonts w:ascii="Times New Roman" w:hAnsi="Times New Roman"/>
          <w:color w:val="000000"/>
          <w:sz w:val="20"/>
        </w:rPr>
        <w:t xml:space="preserve"> </w:t>
      </w:r>
      <w:r>
        <w:rPr>
          <w:rFonts w:ascii="Arial" w:hAnsi="Arial"/>
          <w:color w:val="000000"/>
          <w:sz w:val="20"/>
        </w:rPr>
        <w:t>million aggregate principal amount of 5.00% unsecured Convertible Notes due 2030 (the “2030 Notes”). The 2030 Notes were issued pursuant to a Note Purchase Agreement with Annox Capital, LLC and Robert J. Mylod, Jr, the Managing Partner of Annox Capital, LLC and the Independent Executive Chair of the board of directors of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2030 Notes bear interest at a rate of 5.0% per annum, payable quarterly</w:t>
      </w:r>
      <w:r>
        <w:rPr>
          <w:rFonts w:ascii="Times New Roman" w:hAnsi="Times New Roman"/>
          <w:color w:val="000000"/>
          <w:sz w:val="20"/>
        </w:rPr>
        <w:t xml:space="preserve"> </w:t>
      </w:r>
      <w:r>
        <w:rPr>
          <w:rFonts w:ascii="Arial" w:hAnsi="Arial"/>
          <w:color w:val="000000"/>
          <w:sz w:val="20"/>
        </w:rPr>
        <w:t>in arrears on January 1, April 1, July 1, and October 1 of each year, commencing on October 1, 2025. The 2030 Notes will mature on October 1, 2030, unless earlier converted.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Each $1,000</w:t>
      </w:r>
      <w:r>
        <w:rPr>
          <w:rFonts w:ascii="Times New Roman" w:hAnsi="Times New Roman"/>
          <w:color w:val="000000"/>
          <w:sz w:val="20"/>
        </w:rPr>
        <w:t xml:space="preserve"> </w:t>
      </w:r>
      <w:r>
        <w:rPr>
          <w:rFonts w:ascii="Arial" w:hAnsi="Arial"/>
          <w:color w:val="000000"/>
          <w:sz w:val="20"/>
        </w:rPr>
        <w:t>principal amount of the 2030 Notes will initially be convertible into 28.5714</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$35.00</w:t>
      </w:r>
      <w:r>
        <w:rPr>
          <w:rFonts w:ascii="Times New Roman" w:hAnsi="Times New Roman"/>
          <w:color w:val="000000"/>
          <w:sz w:val="20"/>
        </w:rPr>
        <w:t xml:space="preserve"> </w:t>
      </w:r>
      <w:r>
        <w:rPr>
          <w:rFonts w:ascii="Arial" w:hAnsi="Arial"/>
          <w:color w:val="000000"/>
          <w:sz w:val="20"/>
        </w:rPr>
        <w:t>per share, subject to adjustment upon the occurrence of specified events. The 2030 Notes are convertible at the option of the noteholders given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noteholder may elect to convert at the market price conversion rate (as defined within the Note Purchase Agreement) any time prior to the close of business on the second scheduled trading day immediately preceding the maturity date; provided that the aggregate conversion shares (as defined within the Note Purchase Agreement) issued under any 2030 Notes shall not exceed 20% of the Company’s outstanding Common Stock as of the issuance date unless shareholder approval is obtained or is not required under the relevant exchange rules for issuance in excess of the 20% cap;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noteholder may convert its 2030 Notes at any time from, and including, July 1, 2030 until the close of business on the second scheduled trading day immediately before the maturity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The 2030 Notes will be automatically converted if for thirty</w:t>
      </w:r>
      <w:r>
        <w:rPr>
          <w:color w:val="000000"/>
        </w:rPr>
        <w:t xml:space="preserve"> </w:t>
      </w:r>
      <w:r>
        <w:rPr>
          <w:rFonts w:ascii="Arial" w:hAnsi="Arial"/>
          <w:color w:val="000000"/>
          <w:sz w:val="20"/>
        </w:rPr>
        <w:t>consecutive trading days, (i) the last reported sale price is above $50</w:t>
      </w:r>
      <w:r>
        <w:rPr>
          <w:color w:val="000000"/>
        </w:rPr>
        <w:t xml:space="preserve"> </w:t>
      </w:r>
      <w:r>
        <w:rPr>
          <w:rFonts w:ascii="Arial" w:hAnsi="Arial"/>
          <w:color w:val="000000"/>
          <w:sz w:val="20"/>
        </w:rPr>
        <w:t>per share and (ii) the average daily trading volume per trading day is at least 25,000</w:t>
      </w:r>
      <w:r>
        <w:rPr>
          <w:color w:val="000000"/>
        </w:rPr>
        <w:t xml:space="preserve"> </w:t>
      </w:r>
      <w:r>
        <w:rPr>
          <w:rFonts w:ascii="Arial" w:hAnsi="Arial"/>
          <w:color w:val="000000"/>
          <w:sz w:val="20"/>
        </w:rPr>
        <w:t>shares and (iii) an effective registration statement is available with respect to the shares received upon conversion; or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Upon the occurrence of specific corporate events such as a change in control or certain beneficial distributions to common stockholders (as set forth in the Note Purchase Agreement).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may settle conversions by paying or delivering, as applicable, cash, shares of its common stock or a combination of cash and shares of its common stock, at the Company’s election.</w:t>
      </w:r>
    </w:p>
    <w:p>
      <w:pPr>
        <w:pStyle w:val="TextBody"/>
        <w:bidi w:val="0"/>
        <w:jc w:val="left"/>
        <w:rPr>
          <w:rFonts w:ascii="Times New Roman" w:hAnsi="Times New Roman"/>
          <w:sz w:val="20"/>
        </w:rPr>
      </w:pPr>
      <w:r>
        <w:rPr>
          <w:rFonts w:ascii="Arial" w:hAnsi="Arial"/>
          <w:color w:val="000000"/>
          <w:sz w:val="20"/>
        </w:rPr>
        <w:t>If the Company undergoes a fundamental change (as defined in the Note Purchase Agreement), subject to certain conditions, holders of the 2030 Notes may require the Company to repurchase for cash all or any portion of the 2030 Notes at a repurchase price equal to the principal amount of the 2030 Notes plus any accrued and unpaid interest. In addition, if specific corporate events occur prior to the maturity date or if the Company issues a notice of redemption, the Company will increase the conversion rate by pre-defined amounts for a holder who elects to convert their 2030 Notes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connection with such a corporate event.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 accounts for the 2030 Notes as a single liability-classified instrument measured at amortized cost. As of September 30, 2025, the net carrying value was $10.0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2030 Notes were issued at par value and fees associated with the issuance of these 2030 Notes were immaterial. The interest expense was immaterial for the three and nine months ended September 30, 2025. The effective interest rate of the 2030 Notes is 5%.</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Convertible Notes due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the Company issued $625.0</w:t>
      </w:r>
      <w:r>
        <w:rPr>
          <w:rFonts w:ascii="Times New Roman" w:hAnsi="Times New Roman"/>
          <w:color w:val="000000"/>
          <w:sz w:val="20"/>
        </w:rPr>
        <w:t xml:space="preserve"> </w:t>
      </w:r>
      <w:r>
        <w:rPr>
          <w:rFonts w:ascii="Arial" w:hAnsi="Arial"/>
          <w:color w:val="000000"/>
          <w:sz w:val="20"/>
        </w:rPr>
        <w:t>million aggregate principal amount of 0.75% unsecured Convertible Senior Notes due 2026 (the “2026 Notes”), including $75.0</w:t>
      </w:r>
      <w:r>
        <w:rPr>
          <w:rFonts w:ascii="Times New Roman" w:hAnsi="Times New Roman"/>
          <w:color w:val="000000"/>
          <w:sz w:val="20"/>
        </w:rPr>
        <w:t xml:space="preserve"> </w:t>
      </w:r>
      <w:r>
        <w:rPr>
          <w:rFonts w:ascii="Arial" w:hAnsi="Arial"/>
          <w:color w:val="000000"/>
          <w:sz w:val="20"/>
        </w:rPr>
        <w:t>million aggregate principal amount of such notes pursuant to the exercise in full of the overallotment option granted to the initial purchasers. The 2026 Notes were issued pursuant to an indenture (the “Indenture”), between the Company and U.S. Bank National Association, as trustee.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November 13, 2024, the Company commenced the Prepackaged Chapter 11 Case. On the Effective Date, the conditions to the effectiveness of the Plan were satisfied or waived and the Plan became effective. On January 14, 2025, the Company emerged from the Prepackaged Chapter 11 Case. On the Effective Date, each holder of the 2026 Notes received a pro rata share of 92.94% of the New Common Stock, as defined below, and all of the Company’s outstanding obligations under the 2026 Notes and the Indenture were deemed fully satisfied and discharged.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filing of the Prepackaged Chapter 11 Case constituted an event of default, resulting in the immediate acceleration of the Company’s obligations to pay approximately $291.6</w:t>
      </w:r>
      <w:r>
        <w:rPr>
          <w:rFonts w:ascii="Times New Roman" w:hAnsi="Times New Roman"/>
          <w:color w:val="000000"/>
          <w:sz w:val="20"/>
        </w:rPr>
        <w:t xml:space="preserve"> </w:t>
      </w:r>
      <w:r>
        <w:rPr>
          <w:rFonts w:ascii="Arial" w:hAnsi="Arial"/>
          <w:color w:val="000000"/>
          <w:sz w:val="20"/>
        </w:rPr>
        <w:t>million in principal and interest under the Indenture. The Indenture provided that, as a result of the filing of the Prepackaged Chapter 11 Case, the principal, premium, if any, accrued and unpaid interest and any other monetary obligations due thereunder would be immediately due and payable. However, any enforcement of such payment obligations was stayed as a result of the filing of the Prepackaged Chapter 11 Case and was subject to the applicable provisions of the Bankruptcy Code. On January 14, 2025, the Effective Date, by operation of the Plan, all outstanding obligations under the 2026 Notes and the Indenture were deemed fully satisfied and discharged.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Prior to the Effective Date, the 2026 Notes bore interest at a rate of 0.75% per annum, payable semiannually in arrears on January 1 and July 1 of each year, beginning on January 1, 2022.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accounted for the 2026 Notes as a single liability-classified instrument measured at amortized cost. As a result of filing the bankruptcy petition, the Company wrote off the remaining unamortized debt discount and debt issuance costs of $2.4</w:t>
      </w:r>
      <w:r>
        <w:rPr>
          <w:rFonts w:ascii="Times New Roman" w:hAnsi="Times New Roman"/>
          <w:color w:val="000000"/>
          <w:sz w:val="20"/>
        </w:rPr>
        <w:t xml:space="preserve"> </w:t>
      </w:r>
      <w:r>
        <w:rPr>
          <w:rFonts w:ascii="Arial" w:hAnsi="Arial"/>
          <w:color w:val="000000"/>
          <w:sz w:val="20"/>
        </w:rPr>
        <w:t>million, recorded within "Reorganization items, net" on the condensed consolidated statements of operations. The net carrying value was $290.5</w:t>
      </w:r>
      <w:r>
        <w:rPr>
          <w:rFonts w:ascii="Times New Roman" w:hAnsi="Times New Roman"/>
          <w:color w:val="000000"/>
          <w:sz w:val="20"/>
        </w:rPr>
        <w:t xml:space="preserve"> </w:t>
      </w:r>
      <w:r>
        <w:rPr>
          <w:rFonts w:ascii="Arial" w:hAnsi="Arial"/>
          <w:color w:val="000000"/>
          <w:sz w:val="20"/>
        </w:rPr>
        <w:t>million as of December 31, 2024 recorded in "Liabilities subject to compromise" in the condensed consolidated balance sheet.</w:t>
      </w:r>
    </w:p>
    <w:p>
      <w:pPr>
        <w:pStyle w:val="TextBody"/>
        <w:bidi w:val="0"/>
        <w:jc w:val="left"/>
        <w:rPr>
          <w:rFonts w:ascii="Times New Roman" w:hAnsi="Times New Roman"/>
          <w:sz w:val="20"/>
        </w:rPr>
      </w:pPr>
      <w:r>
        <w:rPr>
          <w:rFonts w:ascii="Arial" w:hAnsi="Arial"/>
          <w:color w:val="000000"/>
          <w:sz w:val="20"/>
        </w:rPr>
        <w:t>The 2026 Notes were issued at par value and fees associated with the issuance of these 2026 Notes were amortized to interest expense using the effective interest method over the contractual term of the 2026 Notes. The interest expense was $0.9</w:t>
      </w:r>
      <w:r>
        <w:rPr>
          <w:rFonts w:ascii="Times New Roman" w:hAnsi="Times New Roman"/>
          <w:color w:val="000000"/>
          <w:sz w:val="20"/>
        </w:rPr>
        <w:t xml:space="preserve"> </w:t>
      </w:r>
      <w:r>
        <w:rPr>
          <w:rFonts w:ascii="Arial" w:hAnsi="Arial"/>
          <w:color w:val="000000"/>
          <w:sz w:val="20"/>
        </w:rPr>
        <w:t>million and $2.8</w:t>
      </w:r>
      <w:r>
        <w:rPr>
          <w:rFonts w:ascii="Times New Roman" w:hAnsi="Times New Roman"/>
          <w:color w:val="000000"/>
          <w:sz w:val="20"/>
        </w:rPr>
        <w:t xml:space="preserve"> </w:t>
      </w:r>
      <w:r>
        <w:rPr>
          <w:rFonts w:ascii="Arial" w:hAnsi="Arial"/>
          <w:color w:val="000000"/>
          <w:sz w:val="20"/>
        </w:rPr>
        <w:t>million for the for the three and nine months ended September 30, 2024, respectively. The effective interest rate of the 2026 Notes was 1.3% for the three and nine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securitization debt was issued under UACC's securitization program. The Company elected to account for the 2022-2, 2023-1, and 2025-1 securitization debt under the fair value option using the measurement alternative. Upon emergence from the Prepackaged Chapter 11 Case, and application of fresh start accounting, the Company made an accounting policy election to apply the measurement alternative to the 2024-1 securitization debt. Fair value adjustments are recorded in "Realized and unrealized losses, net of recoveries" in the condensed consolidated statements of operations. Refer to Note 15 — Financial Instruments and Fair Value Measurements. For the 2022-2, 2023-1, 2024-1, and 2025-1 securitization transactions,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retained the residual interests in the 2023-1, 2024-1, and 2025-1 securitization transactions. UACC also retains the servicing rights for all finance receivables that were securitized; therefore, it is responsible for the administration and collection of the amounts owed under the contracts. The securitization agreements also require certain funds to be held in restricted cash accounts to provide additional collateral for the borrowings or to be applied to make payments on the securitization debt. Restricted cash under the various agreements totaled approximately $41.7</w:t>
      </w:r>
      <w:r>
        <w:rPr>
          <w:rFonts w:ascii="Times New Roman" w:hAnsi="Times New Roman"/>
          <w:color w:val="000000"/>
          <w:sz w:val="20"/>
        </w:rPr>
        <w:t xml:space="preserve"> </w:t>
      </w:r>
      <w:r>
        <w:rPr>
          <w:rFonts w:ascii="Arial" w:hAnsi="Arial"/>
          <w:color w:val="000000"/>
          <w:sz w:val="20"/>
        </w:rPr>
        <w:t>million and $29.2</w:t>
      </w:r>
      <w:r>
        <w:rPr>
          <w:rFonts w:ascii="Times New Roman" w:hAnsi="Times New Roman"/>
          <w:color w:val="000000"/>
          <w:sz w:val="20"/>
        </w:rPr>
        <w:t xml:space="preserve"> </w:t>
      </w:r>
      <w:r>
        <w:rPr>
          <w:rFonts w:ascii="Arial" w:hAnsi="Arial"/>
          <w:color w:val="000000"/>
          <w:sz w:val="20"/>
        </w:rPr>
        <w:t>million as of September 30, 2025, and December 31, 2024,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debt issued is included in "Long-term debt"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46"/>
        <w:gridCol w:w="1840"/>
        <w:gridCol w:w="146"/>
        <w:gridCol w:w="241"/>
        <w:gridCol w:w="909"/>
        <w:gridCol w:w="146"/>
        <w:gridCol w:w="146"/>
        <w:gridCol w:w="1600"/>
        <w:gridCol w:w="286"/>
        <w:gridCol w:w="314"/>
        <w:gridCol w:w="1191"/>
        <w:gridCol w:w="146"/>
        <w:gridCol w:w="146"/>
        <w:gridCol w:w="211"/>
        <w:gridCol w:w="796"/>
        <w:gridCol w:w="194"/>
      </w:tblGrid>
      <w:tr>
        <w:trPr/>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1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2025 (Successor)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53,229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39,556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67,398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51,216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36,616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9"/>
        <w:gridCol w:w="146"/>
        <w:gridCol w:w="1702"/>
        <w:gridCol w:w="146"/>
        <w:gridCol w:w="235"/>
        <w:gridCol w:w="889"/>
        <w:gridCol w:w="146"/>
        <w:gridCol w:w="146"/>
        <w:gridCol w:w="1501"/>
        <w:gridCol w:w="286"/>
        <w:gridCol w:w="299"/>
        <w:gridCol w:w="1136"/>
        <w:gridCol w:w="146"/>
        <w:gridCol w:w="146"/>
        <w:gridCol w:w="211"/>
        <w:gridCol w:w="796"/>
        <w:gridCol w:w="195"/>
      </w:tblGrid>
      <w:tr>
        <w:trPr/>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9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carrying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$65.3</w:t>
      </w:r>
      <w:r>
        <w:rPr>
          <w:rFonts w:ascii="Times New Roman" w:hAnsi="Times New Roman"/>
          <w:color w:val="000000"/>
          <w:sz w:val="20"/>
        </w:rPr>
        <w:t xml:space="preserve"> </w:t>
      </w:r>
      <w:r>
        <w:rPr>
          <w:rFonts w:ascii="Arial" w:hAnsi="Arial"/>
          <w:color w:val="000000"/>
          <w:sz w:val="20"/>
        </w:rPr>
        <w:t>million in 2025, $199.8</w:t>
      </w:r>
      <w:r>
        <w:rPr>
          <w:rFonts w:ascii="Times New Roman" w:hAnsi="Times New Roman"/>
          <w:color w:val="000000"/>
          <w:sz w:val="20"/>
        </w:rPr>
        <w:t xml:space="preserve"> </w:t>
      </w:r>
      <w:r>
        <w:rPr>
          <w:rFonts w:ascii="Arial" w:hAnsi="Arial"/>
          <w:color w:val="000000"/>
          <w:sz w:val="20"/>
        </w:rPr>
        <w:t>million in 2026, $111.4</w:t>
      </w:r>
      <w:r>
        <w:rPr>
          <w:rFonts w:ascii="Times New Roman" w:hAnsi="Times New Roman"/>
          <w:color w:val="000000"/>
          <w:sz w:val="20"/>
        </w:rPr>
        <w:t xml:space="preserve"> </w:t>
      </w:r>
      <w:r>
        <w:rPr>
          <w:rFonts w:ascii="Arial" w:hAnsi="Arial"/>
          <w:color w:val="000000"/>
          <w:sz w:val="20"/>
        </w:rPr>
        <w:t>million in 2027, $51.5</w:t>
      </w:r>
      <w:r>
        <w:rPr>
          <w:rFonts w:ascii="Times New Roman" w:hAnsi="Times New Roman"/>
          <w:color w:val="000000"/>
          <w:sz w:val="20"/>
        </w:rPr>
        <w:t xml:space="preserve"> </w:t>
      </w:r>
      <w:r>
        <w:rPr>
          <w:rFonts w:ascii="Arial" w:hAnsi="Arial"/>
          <w:color w:val="000000"/>
          <w:sz w:val="20"/>
        </w:rPr>
        <w:t>million in 2028, and $37.8</w:t>
      </w:r>
      <w:r>
        <w:rPr>
          <w:rFonts w:ascii="Times New Roman" w:hAnsi="Times New Roman"/>
          <w:color w:val="000000"/>
          <w:sz w:val="20"/>
        </w:rPr>
        <w:t xml:space="preserve"> </w:t>
      </w:r>
      <w:r>
        <w:rPr>
          <w:rFonts w:ascii="Arial" w:hAnsi="Arial"/>
          <w:color w:val="000000"/>
          <w:sz w:val="20"/>
        </w:rPr>
        <w:t>million in 2029.</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2024, UACC exercised its option to repurchase the 2021-1 securitization debt for a total redemption price of $35.6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net carrying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8"/>
        <w:gridCol w:w="146"/>
        <w:gridCol w:w="385"/>
        <w:gridCol w:w="1454"/>
        <w:gridCol w:w="146"/>
        <w:gridCol w:w="146"/>
        <w:gridCol w:w="306"/>
        <w:gridCol w:w="1158"/>
        <w:gridCol w:w="146"/>
        <w:gridCol w:w="146"/>
        <w:gridCol w:w="146"/>
        <w:gridCol w:w="385"/>
        <w:gridCol w:w="1454"/>
        <w:gridCol w:w="146"/>
        <w:gridCol w:w="146"/>
        <w:gridCol w:w="285"/>
        <w:gridCol w:w="1076"/>
        <w:gridCol w:w="196"/>
      </w:tblGrid>
      <w:tr>
        <w:trPr/>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Net Carrying Value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finance receivables of CFEs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09"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(1)</w:t>
            </w:r>
            <w:r>
              <w:rPr>
                <w:rFonts w:ascii="Times New Roman" w:hAnsi="Times New Roman"/>
                <w:color w:val="000000"/>
                <w:sz w:val="16"/>
              </w:rPr>
              <w:t> </w:t>
            </w:r>
            <w:r>
              <w:rPr>
                <w:rFonts w:ascii="Arial" w:hAnsi="Arial"/>
                <w:color w:val="000000"/>
                <w:sz w:val="16"/>
              </w:rPr>
              <w:t>For the Successor period, net carrying value is equal to fair value.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its asset-backed securities issued in its securitization transactions and held by UACC, pursuant to applicable Risk Retention Rules. Under this facility, UACC sells such retained interests and agrees to repurchase them on a future date. As of September 30, 2025, UACC pledged $29.9</w:t>
      </w:r>
      <w:r>
        <w:rPr>
          <w:rFonts w:ascii="Times New Roman" w:hAnsi="Times New Roman"/>
          <w:color w:val="000000"/>
          <w:sz w:val="20"/>
        </w:rPr>
        <w:t xml:space="preserve"> </w:t>
      </w:r>
      <w:r>
        <w:rPr>
          <w:rFonts w:ascii="Arial" w:hAnsi="Arial"/>
          <w:color w:val="000000"/>
          <w:sz w:val="20"/>
        </w:rPr>
        <w:t>million of its retained beneficial interests as collateral, and the outstanding borrowings related to this risk retention financing facility were $23.1</w:t>
      </w:r>
      <w:r>
        <w:rPr>
          <w:rFonts w:ascii="Times New Roman" w:hAnsi="Times New Roman"/>
          <w:color w:val="000000"/>
          <w:sz w:val="20"/>
        </w:rPr>
        <w:t xml:space="preserve"> </w:t>
      </w:r>
      <w:r>
        <w:rPr>
          <w:rFonts w:ascii="Arial" w:hAnsi="Arial"/>
          <w:color w:val="000000"/>
          <w:sz w:val="20"/>
        </w:rPr>
        <w:t>million, with expected repurchase dates ranging from June 2027</w:t>
      </w:r>
      <w:r>
        <w:rPr>
          <w:rFonts w:ascii="Times New Roman" w:hAnsi="Times New Roman"/>
          <w:color w:val="000000"/>
          <w:sz w:val="20"/>
        </w:rPr>
        <w:t xml:space="preserve"> </w:t>
      </w:r>
      <w:r>
        <w:rPr>
          <w:rFonts w:ascii="Arial" w:hAnsi="Arial"/>
          <w:color w:val="000000"/>
          <w:sz w:val="20"/>
        </w:rPr>
        <w:t xml:space="preserve">to October 2031.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outstanding balance of this facility, net of unamortized debt issuance costs, was $22.9 million and $17.7 million as of September 30, 2025 and December 31, 2024, respectively, and is included in "Long-term debt" on the condensed consolidated balance sheet. As of September 30, 2025 and December 31, 2024, the fair value of the collateral pledged under this facility was $23.5 million and $18.3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color w:val="000000"/>
          <w:sz w:val="20"/>
        </w:rPr>
        <w:t>million through a subsidiary, UPFC Trust I. The trust issuer is a wholly owned finance subsidiary and the securities are fully and unconditionally guaranteed by Vroom Automotive Finance Corporation. The interest is paid quarterly at a variable rate, equal to SOFR</w:t>
      </w:r>
      <w:r>
        <w:rPr>
          <w:rFonts w:ascii="Times New Roman" w:hAnsi="Times New Roman"/>
          <w:color w:val="000000"/>
          <w:sz w:val="20"/>
        </w:rPr>
        <w:t xml:space="preserve"> </w:t>
      </w:r>
      <w:r>
        <w:rPr>
          <w:rFonts w:ascii="Arial" w:hAnsi="Arial"/>
          <w:color w:val="000000"/>
          <w:sz w:val="20"/>
        </w:rPr>
        <w:t>+ 3.05%.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12.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From time to time, the Company is involved in various claims and legal actions that arise in the ordinary course of business and an unfavorable resolution of any of these matters could materially affect the Company’s future results of operations, cash flows or financial position. On November 13, 2024, the Company commenced the Prepackaged Chapter 11 Case under Chapter 11 of the Bankruptcy Code in the Bankruptcy Court, under the name </w:t>
      </w:r>
      <w:r>
        <w:rPr>
          <w:rFonts w:ascii="Arial" w:hAnsi="Arial"/>
          <w:i/>
          <w:color w:val="000000"/>
          <w:sz w:val="20"/>
        </w:rPr>
        <w:t>In re Vroom, Inc</w:t>
      </w:r>
      <w:r>
        <w:rPr>
          <w:rFonts w:ascii="Arial" w:hAnsi="Arial"/>
          <w:color w:val="000000"/>
          <w:sz w:val="20"/>
        </w:rPr>
        <w:t>., Case No. 24-90571 (CML).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On January 8, 2025, the Bankruptcy Court entered an order (a) approving the Debtor’s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the Company emerged from the Prepackaged Chapter 11 Case.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Additionally, 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w:t>
      </w:r>
      <w:r>
        <w:rPr>
          <w:rFonts w:ascii="Times New Roman" w:hAnsi="Times New Roman"/>
          <w:color w:val="000000"/>
          <w:sz w:val="20"/>
        </w:rPr>
        <w:t xml:space="preserve"> </w:t>
      </w:r>
      <w:r>
        <w:rPr>
          <w:rFonts w:ascii="Arial" w:hAnsi="Arial"/>
          <w:color w:val="000000"/>
          <w:sz w:val="20"/>
        </w:rPr>
        <w:t>million in civil penalties and $1</w:t>
      </w:r>
      <w:r>
        <w:rPr>
          <w:rFonts w:ascii="Times New Roman" w:hAnsi="Times New Roman"/>
          <w:color w:val="000000"/>
          <w:sz w:val="20"/>
        </w:rPr>
        <w:t xml:space="preserve"> </w:t>
      </w:r>
      <w:r>
        <w:rPr>
          <w:rFonts w:ascii="Arial" w:hAnsi="Arial"/>
          <w:color w:val="000000"/>
          <w:sz w:val="20"/>
        </w:rPr>
        <w:t>million in attorneys' fees, with the first half due in September 2024 and the remaining half due in September 2025, and abide permanently by an injunction of certain operational practices that were previously implemented. As of September 1, 2025, the Company completed its payment obligations under the agreement.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14, 2025, the Company amended its certificate of incorporation to authorize the issuance of up to 5,000,000</w:t>
      </w:r>
      <w:r>
        <w:rPr>
          <w:rFonts w:ascii="Times New Roman" w:hAnsi="Times New Roman"/>
          <w:color w:val="000000"/>
          <w:sz w:val="20"/>
        </w:rPr>
        <w:t xml:space="preserve"> </w:t>
      </w:r>
      <w:r>
        <w:rPr>
          <w:rFonts w:ascii="Arial" w:hAnsi="Arial"/>
          <w:color w:val="000000"/>
          <w:sz w:val="20"/>
        </w:rPr>
        <w:t>shares of Preferred Stock, $0.001</w:t>
      </w:r>
      <w:r>
        <w:rPr>
          <w:rFonts w:ascii="Times New Roman" w:hAnsi="Times New Roman"/>
          <w:color w:val="000000"/>
          <w:sz w:val="20"/>
        </w:rPr>
        <w:t xml:space="preserve"> </w:t>
      </w:r>
      <w:r>
        <w:rPr>
          <w:rFonts w:ascii="Arial" w:hAnsi="Arial"/>
          <w:color w:val="000000"/>
          <w:sz w:val="20"/>
        </w:rPr>
        <w:t>par value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and December 31, 2024, there was no</w:t>
      </w:r>
      <w:r>
        <w:rPr>
          <w:rFonts w:ascii="Times New Roman" w:hAnsi="Times New Roman"/>
          <w:color w:val="000000"/>
          <w:sz w:val="20"/>
        </w:rPr>
        <w:t xml:space="preserve"> </w:t>
      </w:r>
      <w:r>
        <w:rPr>
          <w:rFonts w:ascii="Arial" w:hAnsi="Arial"/>
          <w:color w:val="000000"/>
          <w:sz w:val="20"/>
        </w:rPr>
        <w:t>preferred stock issued or outstanding.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as of January 14, 2025, the Company amended its certificate of incorporation to authorize the issuance of up to 250,000,000</w:t>
      </w:r>
      <w:r>
        <w:rPr>
          <w:rFonts w:ascii="Times New Roman" w:hAnsi="Times New Roman"/>
          <w:color w:val="000000"/>
          <w:sz w:val="20"/>
        </w:rPr>
        <w:t xml:space="preserve"> </w:t>
      </w:r>
      <w:r>
        <w:rPr>
          <w:rFonts w:ascii="Arial" w:hAnsi="Arial"/>
          <w:color w:val="000000"/>
          <w:sz w:val="20"/>
        </w:rPr>
        <w:t>shares of Common Stock, $0.001</w:t>
      </w:r>
      <w:r>
        <w:rPr>
          <w:rFonts w:ascii="Times New Roman" w:hAnsi="Times New Roman"/>
          <w:color w:val="000000"/>
          <w:sz w:val="20"/>
        </w:rPr>
        <w:t xml:space="preserve"> </w:t>
      </w:r>
      <w:r>
        <w:rPr>
          <w:rFonts w:ascii="Arial" w:hAnsi="Arial"/>
          <w:color w:val="000000"/>
          <w:sz w:val="20"/>
        </w:rPr>
        <w:t>par value per share as well as effect an automatic conversion of the Common Stock at a ratio of 1-for-5, which is referred to as New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14. Stock-based Compensation</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On May 28, 2020, the Company adopted the 2020 Incentive Award Plan (“the 2020 Plan”), which authorized the issuance of (i) up to 37,739</w:t>
      </w:r>
      <w:r>
        <w:rPr>
          <w:rFonts w:ascii="Times New Roman" w:hAnsi="Times New Roman"/>
          <w:color w:val="000000"/>
          <w:sz w:val="20"/>
        </w:rPr>
        <w:t xml:space="preserve"> </w:t>
      </w:r>
      <w:r>
        <w:rPr>
          <w:rFonts w:ascii="Arial" w:hAnsi="Arial"/>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Effective as of June 13, 2024, the stockholders approved an amendment to the 2020 Plan to increase the number of authorized shares by 350,000</w:t>
      </w:r>
      <w:r>
        <w:rPr>
          <w:rFonts w:ascii="Times New Roman" w:hAnsi="Times New Roman"/>
          <w:color w:val="000000"/>
          <w:sz w:val="20"/>
        </w:rPr>
        <w:t xml:space="preserve"> </w:t>
      </w:r>
      <w:r>
        <w:rPr>
          <w:rFonts w:ascii="Arial" w:hAnsi="Arial"/>
          <w:color w:val="000000"/>
          <w:sz w:val="20"/>
        </w:rPr>
        <w:t>shares. As of December 31, 2024, the Company has registered an additional 264,299</w:t>
      </w:r>
      <w:r>
        <w:rPr>
          <w:rFonts w:ascii="Times New Roman" w:hAnsi="Times New Roman"/>
          <w:color w:val="000000"/>
          <w:sz w:val="20"/>
        </w:rPr>
        <w:t xml:space="preserve"> </w:t>
      </w:r>
      <w:r>
        <w:rPr>
          <w:rFonts w:ascii="Arial" w:hAnsi="Arial"/>
          <w:color w:val="000000"/>
          <w:sz w:val="20"/>
        </w:rPr>
        <w:t>shares of the Company's common stock to be issued pursuant to the 2020 Plan.</w:t>
      </w:r>
    </w:p>
    <w:p>
      <w:pPr>
        <w:pStyle w:val="TextBody"/>
        <w:bidi w:val="0"/>
        <w:spacing w:before="0" w:after="160"/>
        <w:jc w:val="left"/>
        <w:rPr>
          <w:rFonts w:ascii="Times New Roman" w:hAnsi="Times New Roman"/>
          <w:sz w:val="20"/>
        </w:rPr>
      </w:pPr>
      <w:r>
        <w:rPr>
          <w:rFonts w:ascii="Arial" w:hAnsi="Arial"/>
          <w:color w:val="000000"/>
          <w:sz w:val="20"/>
        </w:rPr>
        <w:t>Pursuant to the Plan, the 2020 Plan was further amended on January 14, 2025, to increase the number of shares reserved for issuance under the 2020 Plan to account for the proposed post-emergence management incentive program,</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 The amended and restated 2020 Plan authorizes the issuance of: (i) 1,166,880</w:t>
      </w:r>
      <w:r>
        <w:rPr>
          <w:rFonts w:ascii="Times New Roman" w:hAnsi="Times New Roman"/>
          <w:color w:val="000000"/>
          <w:sz w:val="20"/>
        </w:rPr>
        <w:t xml:space="preserve"> </w:t>
      </w:r>
      <w:r>
        <w:rPr>
          <w:rFonts w:ascii="Arial" w:hAnsi="Arial"/>
          <w:color w:val="000000"/>
          <w:sz w:val="20"/>
        </w:rPr>
        <w:t>shares of common stock, (ii) any shares which are subject to awards under the prior plans which are forfeited or lapse unexercised and are not issued under the prior plans; and (iii) an annual increase on the first day of each calendar year beginning on January 1, 2022, and ending on and including January 1, 2030, equal to the lesser of (A) 4% of the shares outstanding (on an as</w:t>
        <w:noBreakHyphen/>
        <w:t>converted basis) on the last day of the immediately preceding fiscal year and (B) such smaller number of shares as determined by the Board of Directors or the Compensation Committee. As of September 30, 2025, there were 59,323</w:t>
      </w:r>
      <w:r>
        <w:rPr>
          <w:rFonts w:ascii="Times New Roman" w:hAnsi="Times New Roman"/>
          <w:color w:val="000000"/>
          <w:sz w:val="20"/>
        </w:rPr>
        <w:t xml:space="preserve"> </w:t>
      </w:r>
      <w:r>
        <w:rPr>
          <w:rFonts w:ascii="Arial" w:hAnsi="Arial"/>
          <w:color w:val="000000"/>
          <w:sz w:val="20"/>
        </w:rPr>
        <w:t>shares available for future issuance under the 2020 Plan.</w:t>
      </w:r>
    </w:p>
    <w:p>
      <w:pPr>
        <w:pStyle w:val="TextBody"/>
        <w:bidi w:val="0"/>
        <w:spacing w:before="0" w:after="160"/>
        <w:jc w:val="left"/>
        <w:rPr>
          <w:rFonts w:ascii="Times New Roman" w:hAnsi="Times New Roman"/>
          <w:sz w:val="20"/>
        </w:rPr>
      </w:pPr>
      <w:r>
        <w:rPr>
          <w:rFonts w:ascii="Arial" w:hAnsi="Arial"/>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7,500</w:t>
      </w:r>
      <w:r>
        <w:rPr>
          <w:rFonts w:ascii="Times New Roman" w:hAnsi="Times New Roman"/>
          <w:color w:val="000000"/>
          <w:sz w:val="20"/>
        </w:rPr>
        <w:t xml:space="preserve"> </w:t>
      </w:r>
      <w:r>
        <w:rPr>
          <w:rFonts w:ascii="Arial" w:hAnsi="Arial"/>
          <w:color w:val="000000"/>
          <w:sz w:val="20"/>
        </w:rPr>
        <w:t>shares of the Company’s common stock are reserved for issuance under the Inducement Award Plan. The Inducement Award Plan continues to govern awards granted and outstanding under that plan but no new awards may be granted under that plan.</w:t>
      </w:r>
      <w:r>
        <w:rPr>
          <w:rFonts w:ascii="Times New Roman" w:hAnsi="Times New Roman"/>
          <w:color w:val="000000"/>
          <w:sz w:val="20"/>
        </w:rPr>
        <w:t xml:space="preserve"> </w:t>
      </w:r>
    </w:p>
    <w:p>
      <w:pPr>
        <w:pStyle w:val="TextBody"/>
        <w:bidi w:val="0"/>
        <w:spacing w:before="0" w:after="160"/>
        <w:jc w:val="left"/>
        <w:rPr>
          <w:rFonts w:ascii="Arial" w:hAnsi="Arial"/>
          <w:b/>
          <w:i/>
          <w:color w:val="000000"/>
          <w:sz w:val="20"/>
        </w:rPr>
      </w:pPr>
      <w:r>
        <w:rPr>
          <w:rFonts w:ascii="Arial" w:hAnsi="Arial"/>
          <w:b/>
          <w:i/>
          <w:color w:val="000000"/>
          <w:sz w:val="20"/>
        </w:rPr>
        <w:t>Stock Options</w:t>
      </w:r>
    </w:p>
    <w:p>
      <w:pPr>
        <w:pStyle w:val="TextBody"/>
        <w:bidi w:val="0"/>
        <w:spacing w:before="0" w:after="160"/>
        <w:jc w:val="left"/>
        <w:rPr>
          <w:rFonts w:ascii="Times New Roman" w:hAnsi="Times New Roman"/>
          <w:sz w:val="20"/>
        </w:rPr>
      </w:pPr>
      <w:r>
        <w:rPr>
          <w:rFonts w:ascii="Arial" w:hAnsi="Arial"/>
          <w:color w:val="000000"/>
          <w:sz w:val="20"/>
        </w:rPr>
        <w:t>The Company recognized $0.2</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of stock-based compensation expense related to stock options for the three months ended September 30, 2025 and 2024, respectively, $0.6</w:t>
      </w:r>
      <w:r>
        <w:rPr>
          <w:rFonts w:ascii="Times New Roman" w:hAnsi="Times New Roman"/>
          <w:color w:val="000000"/>
          <w:sz w:val="20"/>
        </w:rPr>
        <w:t xml:space="preserve"> </w:t>
      </w:r>
      <w:r>
        <w:rPr>
          <w:rFonts w:ascii="Arial" w:hAnsi="Arial"/>
          <w:color w:val="000000"/>
          <w:sz w:val="20"/>
        </w:rPr>
        <w:t>million for the period from January 15, 2025 to September 30, 2025 and $0.4</w:t>
      </w:r>
      <w:r>
        <w:rPr>
          <w:rFonts w:ascii="Times New Roman" w:hAnsi="Times New Roman"/>
          <w:color w:val="000000"/>
          <w:sz w:val="20"/>
        </w:rPr>
        <w:t xml:space="preserve"> </w:t>
      </w:r>
      <w:r>
        <w:rPr>
          <w:rFonts w:ascii="Arial" w:hAnsi="Arial"/>
          <w:color w:val="000000"/>
          <w:sz w:val="20"/>
        </w:rPr>
        <w:t>million for the nine months ended September 30, 2024. The stock-based compensation expense related to stock options for the period from January 1, 2025 to January 14, 2025 was not material. As of September 30, 2025, the Company had $2.9</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that is expected to be recognized over a weighted-average period of 3.3</w:t>
      </w:r>
      <w:r>
        <w:rPr>
          <w:rFonts w:ascii="Times New Roman" w:hAnsi="Times New Roman"/>
          <w:color w:val="000000"/>
          <w:sz w:val="20"/>
        </w:rPr>
        <w:t xml:space="preserve"> </w:t>
      </w:r>
      <w:r>
        <w:rPr>
          <w:rFonts w:ascii="Arial" w:hAnsi="Arial"/>
          <w:color w:val="000000"/>
          <w:sz w:val="20"/>
        </w:rPr>
        <w:t>years. As of December 31, 2024, the Company had $0.1</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0.4</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On March 12, 2025, 259,400</w:t>
      </w:r>
      <w:r>
        <w:rPr>
          <w:rFonts w:ascii="Times New Roman" w:hAnsi="Times New Roman"/>
          <w:color w:val="000000"/>
          <w:sz w:val="20"/>
        </w:rPr>
        <w:t xml:space="preserve"> </w:t>
      </w:r>
      <w:r>
        <w:rPr>
          <w:rFonts w:ascii="Arial" w:hAnsi="Arial"/>
          <w:color w:val="000000"/>
          <w:sz w:val="20"/>
        </w:rPr>
        <w:t>stock options were granted to the CEO whereby 129,700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129,700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Additionally, on March 12, 2025, an aggregate of 65,000</w:t>
      </w:r>
      <w:r>
        <w:rPr>
          <w:rFonts w:ascii="Times New Roman" w:hAnsi="Times New Roman"/>
          <w:color w:val="000000"/>
          <w:sz w:val="20"/>
        </w:rPr>
        <w:t xml:space="preserve"> </w:t>
      </w:r>
      <w:r>
        <w:rPr>
          <w:rFonts w:ascii="Arial" w:hAnsi="Arial"/>
          <w:color w:val="000000"/>
          <w:sz w:val="20"/>
        </w:rPr>
        <w:t>stock options were granted to certain members of key management whereby 32,500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32,500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The fair values of these stock options were determined using the Black-Scholes option pricing model. The stock options vest ratably over a four-year</w:t>
      </w:r>
      <w:r>
        <w:rPr>
          <w:rFonts w:ascii="Times New Roman" w:hAnsi="Times New Roman"/>
          <w:color w:val="000000"/>
          <w:sz w:val="20"/>
        </w:rPr>
        <w:t xml:space="preserve"> </w:t>
      </w:r>
      <w:r>
        <w:rPr>
          <w:rFonts w:ascii="Arial" w:hAnsi="Arial"/>
          <w:color w:val="000000"/>
          <w:sz w:val="20"/>
        </w:rPr>
        <w:t>period subject to continued employment through each applicable vesting date.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The Company recognized $1.2</w:t>
      </w:r>
      <w:r>
        <w:rPr>
          <w:rFonts w:ascii="Times New Roman" w:hAnsi="Times New Roman"/>
          <w:color w:val="000000"/>
          <w:sz w:val="20"/>
        </w:rPr>
        <w:t xml:space="preserve"> </w:t>
      </w:r>
      <w:r>
        <w:rPr>
          <w:rFonts w:ascii="Arial" w:hAnsi="Arial"/>
          <w:color w:val="000000"/>
          <w:sz w:val="20"/>
        </w:rPr>
        <w:t>million of stock-based compensation expense related to RSUs for the three months ended September 30, 2025 and 2024, respectively, $3.1</w:t>
      </w:r>
      <w:r>
        <w:rPr>
          <w:rFonts w:ascii="Times New Roman" w:hAnsi="Times New Roman"/>
          <w:color w:val="000000"/>
          <w:sz w:val="20"/>
        </w:rPr>
        <w:t xml:space="preserve"> </w:t>
      </w:r>
      <w:r>
        <w:rPr>
          <w:rFonts w:ascii="Arial" w:hAnsi="Arial"/>
          <w:color w:val="000000"/>
          <w:sz w:val="20"/>
        </w:rPr>
        <w:t>million for the period from January 15, 2025 to September 30,2025, and $4.9</w:t>
      </w:r>
      <w:r>
        <w:rPr>
          <w:rFonts w:ascii="Times New Roman" w:hAnsi="Times New Roman"/>
          <w:color w:val="000000"/>
          <w:sz w:val="20"/>
        </w:rPr>
        <w:t xml:space="preserve"> </w:t>
      </w:r>
      <w:r>
        <w:rPr>
          <w:rFonts w:ascii="Arial" w:hAnsi="Arial"/>
          <w:color w:val="000000"/>
          <w:sz w:val="20"/>
        </w:rPr>
        <w:t>million for the nine months ended September 30, 2024. The Company recognized $0.1</w:t>
      </w:r>
      <w:r>
        <w:rPr>
          <w:rFonts w:ascii="Times New Roman" w:hAnsi="Times New Roman"/>
          <w:color w:val="000000"/>
          <w:sz w:val="20"/>
        </w:rPr>
        <w:t xml:space="preserve"> </w:t>
      </w:r>
      <w:r>
        <w:rPr>
          <w:rFonts w:ascii="Arial" w:hAnsi="Arial"/>
          <w:color w:val="000000"/>
          <w:sz w:val="20"/>
        </w:rPr>
        <w:t>million of stock-based compensation expense related to RSUs for the period from January 1, 2025 to January 14, 2025. As of September 30, 2025, the Company had $14.2</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3.2</w:t>
      </w:r>
      <w:r>
        <w:rPr>
          <w:rFonts w:ascii="Times New Roman" w:hAnsi="Times New Roman"/>
          <w:color w:val="000000"/>
          <w:sz w:val="20"/>
        </w:rPr>
        <w:t xml:space="preserve"> </w:t>
      </w:r>
      <w:r>
        <w:rPr>
          <w:rFonts w:ascii="Arial" w:hAnsi="Arial"/>
          <w:color w:val="000000"/>
          <w:sz w:val="20"/>
        </w:rPr>
        <w:t>years. As of December 31, 2024, the Company had $1.2</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0.7</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color w:val="000000"/>
          <w:sz w:val="20"/>
        </w:rPr>
        <w:t>months, and upon death, disability and certain other “good leaver” circumstances.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15.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holds certain financial assets that are required to be measured at fair value on a recurring basis. Upon emergence from the Prepackaged Chapter 11 Case, and application of fresh start accounting, the Company made an accounting policy election to elect the fair value option for all finance receivables on a prospective basis.</w:t>
      </w:r>
      <w:r>
        <w:rPr>
          <w:rFonts w:ascii="Times New Roman" w:hAnsi="Times New Roman"/>
          <w:color w:val="000000"/>
          <w:sz w:val="20"/>
        </w:rPr>
        <w:t xml:space="preserve"> </w:t>
      </w:r>
      <w:r>
        <w:rPr>
          <w:rFonts w:ascii="Arial" w:hAnsi="Arial"/>
          <w:color w:val="000000"/>
          <w:sz w:val="20"/>
        </w:rPr>
        <w:t>Additionally, the Company elected the fair value option for the financial assets and liabilities of UACC’s consolidated CFEs, and beneficial interests in the 2022-1 securitization transaction.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867" w:type="dxa"/>
        <w:jc w:val="left"/>
        <w:tblInd w:w="0" w:type="dxa"/>
        <w:tblLayout w:type="fixed"/>
        <w:tblCellMar>
          <w:top w:w="28" w:type="dxa"/>
          <w:left w:w="28" w:type="dxa"/>
          <w:bottom w:w="28" w:type="dxa"/>
          <w:right w:w="28" w:type="dxa"/>
        </w:tblCellMar>
      </w:tblPr>
      <w:tblGrid>
        <w:gridCol w:w="4591"/>
        <w:gridCol w:w="146"/>
        <w:gridCol w:w="211"/>
        <w:gridCol w:w="691"/>
        <w:gridCol w:w="146"/>
        <w:gridCol w:w="146"/>
        <w:gridCol w:w="211"/>
        <w:gridCol w:w="796"/>
        <w:gridCol w:w="146"/>
        <w:gridCol w:w="146"/>
        <w:gridCol w:w="211"/>
        <w:gridCol w:w="796"/>
        <w:gridCol w:w="146"/>
        <w:gridCol w:w="146"/>
        <w:gridCol w:w="211"/>
        <w:gridCol w:w="796"/>
        <w:gridCol w:w="33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817,711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822,031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523,658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Money Market Funds:</w:t>
      </w:r>
      <w:r>
        <w:rPr>
          <w:rFonts w:ascii="Times New Roman" w:hAnsi="Times New Roman"/>
          <w:color w:val="000000"/>
          <w:sz w:val="20"/>
        </w:rPr>
        <w:t xml:space="preserve"> </w:t>
      </w:r>
      <w:r>
        <w:rPr>
          <w:rFonts w:ascii="Arial" w:hAnsi="Arial"/>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Financial assets and liabilities of CFEs:</w:t>
      </w:r>
      <w:r>
        <w:rPr>
          <w:rFonts w:ascii="Times New Roman" w:hAnsi="Times New Roman"/>
          <w:color w:val="000000"/>
          <w:sz w:val="20"/>
        </w:rPr>
        <w:t xml:space="preserve"> </w:t>
      </w:r>
      <w:r>
        <w:rPr>
          <w:rFonts w:ascii="Arial" w:hAnsi="Arial"/>
          <w:color w:val="000000"/>
          <w:sz w:val="20"/>
        </w:rPr>
        <w:t>In accordance with ASC 825, the Company has elected the fair value option, for the eligible financial assets and liabilities of the 2022-2, 2023-1, and 2025-1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Upon emergence from the Prepackaged Chapter 11 Case, and application of fresh start accounting, the Company made an accounting policy election to apply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measurement alternative to the 2024-1 consolidated CFE. Under the measurement alternative prescribed by ASC 810-30, the Company recognizes changes in the CFE’s net assets, including changes in fair value adjustments and net interest earned, in its condensed consolidated statements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at fair value:</w:t>
      </w:r>
      <w:r>
        <w:rPr>
          <w:rFonts w:ascii="Times New Roman" w:hAnsi="Times New Roman"/>
          <w:color w:val="000000"/>
          <w:sz w:val="20"/>
        </w:rPr>
        <w:t xml:space="preserve"> </w:t>
      </w:r>
      <w:r>
        <w:rPr>
          <w:rFonts w:ascii="Arial" w:hAnsi="Arial"/>
          <w:color w:val="000000"/>
          <w:sz w:val="20"/>
        </w:rPr>
        <w:t>Finance receivables at fair value represent finance receivables for which the Company elected the 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pStyle w:val="TextBody"/>
        <w:bidi w:val="0"/>
        <w:jc w:val="left"/>
        <w:rPr>
          <w:rFonts w:ascii="Times New Roman" w:hAnsi="Times New Roman"/>
          <w:sz w:val="20"/>
        </w:rPr>
      </w:pPr>
      <w:r>
        <w:rPr>
          <w:rFonts w:ascii="Arial" w:hAnsi="Arial"/>
          <w:i/>
          <w:color w:val="000000"/>
          <w:sz w:val="20"/>
        </w:rPr>
        <w:t>Beneficial interests in securitization:</w:t>
      </w:r>
      <w:r>
        <w:rPr>
          <w:rFonts w:ascii="Times New Roman" w:hAnsi="Times New Roman"/>
          <w:color w:val="000000"/>
          <w:sz w:val="20"/>
        </w:rPr>
        <w:t xml:space="preserve"> </w:t>
      </w:r>
      <w:r>
        <w:rPr>
          <w:rFonts w:ascii="Arial" w:hAnsi="Arial"/>
          <w:color w:val="000000"/>
          <w:sz w:val="20"/>
        </w:rPr>
        <w:t>Beneficial interests in securitization relate to the 2022-1 securitization completed in February 2022 and include rated notes as well as certificates. The Company elected the fair value option on its beneficial interests in the 2022-1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3"/>
        <w:gridCol w:w="146"/>
        <w:gridCol w:w="449"/>
        <w:gridCol w:w="1830"/>
        <w:gridCol w:w="166"/>
        <w:gridCol w:w="146"/>
        <w:gridCol w:w="368"/>
        <w:gridCol w:w="1494"/>
        <w:gridCol w:w="166"/>
        <w:gridCol w:w="146"/>
        <w:gridCol w:w="523"/>
        <w:gridCol w:w="1722"/>
        <w:gridCol w:w="216"/>
      </w:tblGrid>
      <w:tr>
        <w:trPr/>
        <w:tc>
          <w:tcPr>
            <w:tcW w:w="2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89" w:type="dxa"/>
            <w:gridSpan w:val="1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6"/>
        <w:gridCol w:w="146"/>
        <w:gridCol w:w="423"/>
        <w:gridCol w:w="1600"/>
        <w:gridCol w:w="166"/>
        <w:gridCol w:w="146"/>
        <w:gridCol w:w="349"/>
        <w:gridCol w:w="1319"/>
        <w:gridCol w:w="166"/>
        <w:gridCol w:w="146"/>
        <w:gridCol w:w="467"/>
        <w:gridCol w:w="1537"/>
        <w:gridCol w:w="214"/>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of finance receivables due to a change in Accounting Policy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34"/>
        <w:gridCol w:w="146"/>
        <w:gridCol w:w="469"/>
        <w:gridCol w:w="1776"/>
        <w:gridCol w:w="166"/>
        <w:gridCol w:w="146"/>
        <w:gridCol w:w="382"/>
        <w:gridCol w:w="1446"/>
        <w:gridCol w:w="166"/>
        <w:gridCol w:w="146"/>
        <w:gridCol w:w="516"/>
        <w:gridCol w:w="1697"/>
        <w:gridCol w:w="215"/>
      </w:tblGrid>
      <w:tr>
        <w:trPr/>
        <w:tc>
          <w:tcPr>
            <w:tcW w:w="2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Transfers into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transfers between levels of the fair value hierarchy are assumed to have occurred at the beginning of the reporting period on a quarterly basis. During the three and nine months ended September 30, 2024, transfers into Level 3 liabilities related to not achieving consensus pricing from third-party broker dealers on the 2022-2 E rated notes related to the securitization debt of consolidated CFEs.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the gains or losses, recorded in "Realized and unrealized losses, net of recoveries" in the condensed consolidated statements of operations related to the eligible financial instruments for which the fair value option was elected, as well as other relevant items that are included in "Realized and unrealized losses, net of recoveries"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4"/>
        <w:gridCol w:w="146"/>
        <w:gridCol w:w="518"/>
        <w:gridCol w:w="1718"/>
        <w:gridCol w:w="166"/>
        <w:gridCol w:w="146"/>
        <w:gridCol w:w="146"/>
        <w:gridCol w:w="531"/>
        <w:gridCol w:w="1747"/>
        <w:gridCol w:w="213"/>
      </w:tblGrid>
      <w:tr>
        <w:trPr/>
        <w:tc>
          <w:tcPr>
            <w:tcW w:w="4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8"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9"/>
        <w:gridCol w:w="458"/>
        <w:gridCol w:w="1633"/>
        <w:gridCol w:w="166"/>
        <w:gridCol w:w="146"/>
        <w:gridCol w:w="146"/>
        <w:gridCol w:w="468"/>
        <w:gridCol w:w="1434"/>
        <w:gridCol w:w="166"/>
        <w:gridCol w:w="146"/>
        <w:gridCol w:w="374"/>
        <w:gridCol w:w="1334"/>
        <w:gridCol w:w="215"/>
      </w:tblGrid>
      <w:tr>
        <w:trPr/>
        <w:tc>
          <w:tcPr>
            <w:tcW w:w="35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60,497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 net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87,894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404"/>
        <w:gridCol w:w="1528"/>
        <w:gridCol w:w="146"/>
        <w:gridCol w:w="146"/>
        <w:gridCol w:w="146"/>
        <w:gridCol w:w="351"/>
        <w:gridCol w:w="1329"/>
        <w:gridCol w:w="146"/>
        <w:gridCol w:w="195"/>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2025 (Successor)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76"/>
        <w:gridCol w:w="146"/>
        <w:gridCol w:w="403"/>
        <w:gridCol w:w="1525"/>
        <w:gridCol w:w="146"/>
        <w:gridCol w:w="146"/>
        <w:gridCol w:w="146"/>
        <w:gridCol w:w="351"/>
        <w:gridCol w:w="1327"/>
        <w:gridCol w:w="146"/>
        <w:gridCol w:w="193"/>
      </w:tblGrid>
      <w:tr>
        <w:trPr/>
        <w:tc>
          <w:tcPr>
            <w:tcW w:w="5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67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2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7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September 30, 2025 (Successor)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465,796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458,915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3"/>
        <w:gridCol w:w="146"/>
        <w:gridCol w:w="853"/>
        <w:gridCol w:w="3231"/>
        <w:gridCol w:w="192"/>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83"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8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153,160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restricted cash and other liabilities approximate fair value due to their short-term nature. The carrying value of the Warehouse Credit Facilities was determined to approximate fair value due to its short-term duration and variable interest rates that approximate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held for sale, net:</w:t>
      </w:r>
      <w:r>
        <w:rPr>
          <w:rFonts w:ascii="Times New Roman" w:hAnsi="Times New Roman"/>
          <w:color w:val="000000"/>
          <w:sz w:val="20"/>
        </w:rPr>
        <w:t xml:space="preserve"> </w:t>
      </w:r>
      <w:r>
        <w:rPr>
          <w:rFonts w:ascii="Arial" w:hAnsi="Arial"/>
          <w:color w:val="000000"/>
          <w:sz w:val="20"/>
        </w:rPr>
        <w:t>For finance receivables eligible to be sold in a securitization, the Company determined the fair value of these finance receivables utilizing sales prices based on estimated securitization transactions, adjusted for transformation costs, risk and a normal profit margin associated with securitization transactions. Such fair value measurement is considered Level 3 of the fair value hierarchy. Upon emergence from the Prepackaged Chapter 11 Case, and application of fresh start accounting, the Company made an accounting policy election to elect the fair value option for all finance receivables held for sale, net. As of September 30, 2025, the Company did not have any finance receivables held for sale, net.</w:t>
      </w:r>
      <w:r>
        <w:rPr>
          <w:rFonts w:ascii="Times New Roman" w:hAnsi="Times New Roman"/>
          <w:color w:val="000000"/>
          <w:sz w:val="20"/>
        </w:rPr>
        <w:t xml:space="preserve"> </w:t>
      </w:r>
      <w:r>
        <w:rPr>
          <w:rFonts w:ascii="Arial" w:hAnsi="Arial"/>
          <w:color w:val="000000"/>
          <w:sz w:val="20"/>
        </w:rPr>
        <w:t>As of December 31, 2024, the carrying value and fair value of the finance receivables held for sale, net were $114.6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finance receivables sold in a securitization, the Company determined the fair value of these finance receivables by estimating the proceeds that would be generated from selling the notes and the residual interests in the securitization trust. The fair value of the notes was determined utilizing non-binding quoted prices provided by broker dealers, as discussed above, and the Company used a discounted cash flow model to estimate the fair value of the residual interests in the trust. Such fair value measurement is considered Level 3 of the fair value hierarchy. As of September 30, 2025, there were no</w:t>
      </w:r>
      <w:r>
        <w:rPr>
          <w:rFonts w:ascii="Times New Roman" w:hAnsi="Times New Roman"/>
          <w:color w:val="000000"/>
          <w:sz w:val="20"/>
        </w:rPr>
        <w:t xml:space="preserve"> </w:t>
      </w:r>
      <w:r>
        <w:rPr>
          <w:rFonts w:ascii="Arial" w:hAnsi="Arial"/>
          <w:color w:val="000000"/>
          <w:sz w:val="20"/>
        </w:rPr>
        <w:t>finance receivables held for sale, net that were sold in a securitization. As of December 31, 2024, the carrying value and fair value of the finance receivables held for sale, net that were sold in a securitization were $178.8</w:t>
      </w:r>
      <w:r>
        <w:rPr>
          <w:rFonts w:ascii="Times New Roman" w:hAnsi="Times New Roman"/>
          <w:color w:val="000000"/>
          <w:sz w:val="20"/>
        </w:rPr>
        <w:t xml:space="preserve"> </w:t>
      </w:r>
      <w:r>
        <w:rPr>
          <w:rFonts w:ascii="Arial" w:hAnsi="Arial"/>
          <w:color w:val="000000"/>
          <w:sz w:val="20"/>
        </w:rPr>
        <w:t>million and $183.3</w:t>
      </w:r>
      <w:r>
        <w:rPr>
          <w:rFonts w:ascii="Times New Roman" w:hAnsi="Times New Roman"/>
          <w:color w:val="000000"/>
          <w:sz w:val="20"/>
        </w:rPr>
        <w:t xml:space="preserve"> </w:t>
      </w:r>
      <w:r>
        <w:rPr>
          <w:rFonts w:ascii="Arial" w:hAnsi="Arial"/>
          <w:color w:val="000000"/>
          <w:sz w:val="20"/>
        </w:rPr>
        <w:t>million, respectively. The significant unobservable inputs utilized in the discounted cashflow model include the following:</w:t>
      </w:r>
    </w:p>
    <w:p>
      <w:pPr>
        <w:pStyle w:val="TextBody"/>
        <w:bidi w:val="0"/>
        <w:jc w:val="left"/>
        <w:rPr/>
      </w:pPr>
      <w:r>
        <w:rPr/>
        <w:t> </w:t>
      </w:r>
    </w:p>
    <w:tbl>
      <w:tblPr>
        <w:tblW w:w="4344" w:type="dxa"/>
        <w:jc w:val="left"/>
        <w:tblInd w:w="0" w:type="dxa"/>
        <w:tblLayout w:type="fixed"/>
        <w:tblCellMar>
          <w:top w:w="28" w:type="dxa"/>
          <w:left w:w="28" w:type="dxa"/>
          <w:bottom w:w="28" w:type="dxa"/>
          <w:right w:w="28" w:type="dxa"/>
        </w:tblCellMar>
      </w:tblPr>
      <w:tblGrid>
        <w:gridCol w:w="1846"/>
        <w:gridCol w:w="146"/>
        <w:gridCol w:w="146"/>
        <w:gridCol w:w="2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Inputs as of December 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Cumulative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17%-19%</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the Company also had finance receivables that were no longer eligible to be sold in a securitization. As of September 30, 2025, there were no</w:t>
      </w:r>
      <w:r>
        <w:rPr>
          <w:rFonts w:ascii="Times New Roman" w:hAnsi="Times New Roman"/>
          <w:color w:val="000000"/>
          <w:sz w:val="20"/>
        </w:rPr>
        <w:t xml:space="preserve"> </w:t>
      </w:r>
      <w:r>
        <w:rPr>
          <w:rFonts w:ascii="Arial" w:hAnsi="Arial"/>
          <w:color w:val="000000"/>
          <w:sz w:val="20"/>
        </w:rPr>
        <w:t>finance receivables held for sale, net, that were no longer eligible to be sold in a securitization.</w:t>
      </w:r>
      <w:r>
        <w:rPr>
          <w:rFonts w:ascii="Times New Roman" w:hAnsi="Times New Roman"/>
          <w:color w:val="000000"/>
          <w:sz w:val="20"/>
        </w:rPr>
        <w:t xml:space="preserve"> </w:t>
      </w:r>
      <w:r>
        <w:rPr>
          <w:rFonts w:ascii="Arial" w:hAnsi="Arial"/>
          <w:color w:val="000000"/>
          <w:sz w:val="20"/>
        </w:rPr>
        <w:t>As of December 31, 2024, the carrying value and fair value of the finance receivables held for sale, net were no longer eligible to be sold in a securitization were $24.8</w:t>
      </w:r>
      <w:r>
        <w:rPr>
          <w:rFonts w:ascii="Times New Roman" w:hAnsi="Times New Roman"/>
          <w:color w:val="000000"/>
          <w:sz w:val="20"/>
        </w:rPr>
        <w:t xml:space="preserve"> </w:t>
      </w:r>
      <w:r>
        <w:rPr>
          <w:rFonts w:ascii="Arial" w:hAnsi="Arial"/>
          <w:color w:val="000000"/>
          <w:sz w:val="20"/>
        </w:rPr>
        <w:t>million. These were finance receivables that became delinquent and no longer meet the expected securitization sales criteria. The Company used a discounted cash flow model to estimate the fair value of future recoveries for finance receivables. Such fair value measurement is considered Level 3 of the fair value hierarchy. The significant unobservable inputs utilized in the discounted cashflow model include the following:</w:t>
      </w:r>
    </w:p>
    <w:p>
      <w:pPr>
        <w:pStyle w:val="TextBody"/>
        <w:bidi w:val="0"/>
        <w:jc w:val="left"/>
        <w:rPr/>
      </w:pPr>
      <w:r>
        <w:rPr/>
        <w:t> </w:t>
      </w:r>
    </w:p>
    <w:tbl>
      <w:tblPr>
        <w:tblW w:w="4344" w:type="dxa"/>
        <w:jc w:val="left"/>
        <w:tblInd w:w="0" w:type="dxa"/>
        <w:tblLayout w:type="fixed"/>
        <w:tblCellMar>
          <w:top w:w="28" w:type="dxa"/>
          <w:left w:w="28" w:type="dxa"/>
          <w:bottom w:w="28" w:type="dxa"/>
          <w:right w:w="28" w:type="dxa"/>
        </w:tblCellMar>
      </w:tblPr>
      <w:tblGrid>
        <w:gridCol w:w="1846"/>
        <w:gridCol w:w="146"/>
        <w:gridCol w:w="146"/>
        <w:gridCol w:w="2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Inputs as of December 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Cumulative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19.3% - 33.2%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26.3% - 47.2%</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14.5%</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Securitization Debt:</w:t>
      </w:r>
      <w:r>
        <w:rPr>
          <w:rFonts w:ascii="Times New Roman" w:hAnsi="Times New Roman"/>
          <w:color w:val="000000"/>
          <w:sz w:val="20"/>
        </w:rPr>
        <w:t xml:space="preserve"> </w:t>
      </w:r>
      <w:r>
        <w:rPr>
          <w:rFonts w:ascii="Arial" w:hAnsi="Arial"/>
          <w:color w:val="000000"/>
          <w:sz w:val="20"/>
        </w:rPr>
        <w:t>Upon emergence from the Prepackaged Chapter 11 Case, and application of fresh start accounting, the Company made an accounting policy change to elect the fair value option and apply the measurement alternative to the 2024-1 securitization debt. As of December 31, 2024, the 2024-1 securitization debt was not carried at fair value on the Company's condensed consolidated balance sheet. As of</w:t>
      </w:r>
      <w:r>
        <w:rPr>
          <w:rFonts w:ascii="Times New Roman" w:hAnsi="Times New Roman"/>
          <w:color w:val="000000"/>
          <w:sz w:val="20"/>
        </w:rPr>
        <w:t xml:space="preserve"> </w:t>
      </w:r>
      <w:r>
        <w:rPr>
          <w:rFonts w:ascii="Arial" w:hAnsi="Arial"/>
          <w:color w:val="000000"/>
          <w:sz w:val="20"/>
        </w:rPr>
        <w:t>December 31, 2024, the fair value of the debt was determined utilizing non-binding quoted prices provided by broker dealers, as discussed above, and classified as Level 2 of the fair value hierarchy.</w:t>
      </w:r>
    </w:p>
    <w:p>
      <w:pPr>
        <w:pStyle w:val="TextBody"/>
        <w:bidi w:val="0"/>
        <w:jc w:val="left"/>
        <w:rPr/>
      </w:pPr>
      <w:r>
        <w:rPr/>
        <w:t> </w:t>
      </w:r>
    </w:p>
    <w:tbl>
      <w:tblPr>
        <w:tblW w:w="3124" w:type="dxa"/>
        <w:jc w:val="left"/>
        <w:tblInd w:w="0" w:type="dxa"/>
        <w:tblLayout w:type="fixed"/>
        <w:tblCellMar>
          <w:top w:w="28" w:type="dxa"/>
          <w:left w:w="28" w:type="dxa"/>
          <w:bottom w:w="28" w:type="dxa"/>
          <w:right w:w="28" w:type="dxa"/>
        </w:tblCellMar>
      </w:tblPr>
      <w:tblGrid>
        <w:gridCol w:w="1366"/>
        <w:gridCol w:w="146"/>
        <w:gridCol w:w="146"/>
        <w:gridCol w:w="266"/>
        <w:gridCol w:w="1009"/>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Financing of beneficial interests in securitizations: </w:t>
      </w:r>
      <w:r>
        <w:rPr>
          <w:rFonts w:ascii="Arial" w:hAnsi="Arial"/>
          <w:color w:val="000000"/>
          <w:sz w:val="20"/>
        </w:rPr>
        <w:t>The fair value of the debt associated with financing of beneficial interests in securitizations, which are not carried at fair value on the Company's condensed consolidated balance sheets, approximated their carrying value as of September 30, 2025 and December 31, 2024 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Junior Subordinated Debentures: </w:t>
      </w:r>
      <w:r>
        <w:rPr>
          <w:rFonts w:ascii="Arial" w:hAnsi="Arial"/>
          <w:color w:val="000000"/>
          <w:sz w:val="20"/>
        </w:rPr>
        <w:t>The fair value of the junior subordinated debentures, which are not carried at fair value on the Company's condensed consolidated balance sheets, approximated their carrying value as of September 30, 2025 and December 31, 2024 and are classified within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Convertible Notes: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fair value of the 2030 Notes, which are not carried at fair value on the Company's condensed consolidated balance sheets, approximated their carrying value as of September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The fair value of the 2026 Notes, which were not carried at fair value on the Company's condensed consolidated balance sheet, was determined utilizing actual bids and offer prices of the 2026 Notes in markets that are not active and were classified within Level 2 of the fair value hierarchy as of December 31, 2024. </w:t>
      </w:r>
    </w:p>
    <w:p>
      <w:pPr>
        <w:pStyle w:val="TextBody"/>
        <w:bidi w:val="0"/>
        <w:jc w:val="left"/>
        <w:rPr/>
      </w:pPr>
      <w:r>
        <w:rPr/>
        <w:t> </w:t>
      </w:r>
    </w:p>
    <w:tbl>
      <w:tblPr>
        <w:tblW w:w="3124" w:type="dxa"/>
        <w:jc w:val="left"/>
        <w:tblInd w:w="0" w:type="dxa"/>
        <w:tblLayout w:type="fixed"/>
        <w:tblCellMar>
          <w:top w:w="28" w:type="dxa"/>
          <w:left w:w="28" w:type="dxa"/>
          <w:bottom w:w="28" w:type="dxa"/>
          <w:right w:w="28" w:type="dxa"/>
        </w:tblCellMar>
      </w:tblPr>
      <w:tblGrid>
        <w:gridCol w:w="1366"/>
        <w:gridCol w:w="146"/>
        <w:gridCol w:w="146"/>
        <w:gridCol w:w="266"/>
        <w:gridCol w:w="1009"/>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Fresh start accounting</w:t>
      </w:r>
      <w:r>
        <w:rPr>
          <w:rFonts w:ascii="Arial" w:hAnsi="Arial"/>
          <w:color w:val="000000"/>
          <w:sz w:val="20"/>
        </w:rPr>
        <w:t>: In accordance with ASC Topic 852, with the application of fresh start accounting, the Company allocated the reorganization value to its individual assets and liabilities based on their estimated fair values in conformity with ASC Topic 805, Business Combinations. Refer to Note 6 — Fresh Start Accounting</w:t>
      </w:r>
      <w:r>
        <w:rPr>
          <w:rFonts w:ascii="Times New Roman" w:hAnsi="Times New Roman"/>
          <w:color w:val="000000"/>
          <w:sz w:val="20"/>
        </w:rPr>
        <w:t xml:space="preserve"> </w:t>
      </w:r>
      <w:r>
        <w:rPr>
          <w:rFonts w:ascii="Arial" w:hAnsi="Arial"/>
          <w:color w:val="000000"/>
          <w:sz w:val="20"/>
        </w:rPr>
        <w:t>for further details.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16. Segment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Ecommerce Wind-Down during the three months ended March 31, 2024, the Company revised its reportable segments. The Company is now organized into two</w:t>
      </w:r>
      <w:r>
        <w:rPr>
          <w:rFonts w:ascii="Times New Roman" w:hAnsi="Times New Roman"/>
          <w:color w:val="000000"/>
          <w:sz w:val="20"/>
        </w:rPr>
        <w:t xml:space="preserve"> </w:t>
      </w:r>
      <w:r>
        <w:rPr>
          <w:rFonts w:ascii="Arial" w:hAnsi="Arial"/>
          <w:color w:val="000000"/>
          <w:sz w:val="20"/>
        </w:rPr>
        <w:t>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its operating segments based on how the chief operating decision maker (“CODM”) reviews the Company’s operating results in assessing performance and allocating resources. The Company’s CODM is the chief executive office</w:t>
      </w:r>
      <w:r>
        <w:rPr>
          <w:rFonts w:ascii="Times New Roman" w:hAnsi="Times New Roman"/>
          <w:color w:val="000000"/>
          <w:sz w:val="20"/>
        </w:rPr>
        <w:t xml:space="preserve"> </w:t>
      </w:r>
      <w:r>
        <w:rPr>
          <w:rFonts w:ascii="Arial" w:hAnsi="Arial"/>
          <w:color w:val="000000"/>
          <w:sz w:val="20"/>
        </w:rPr>
        <w:t>(“CEO”). During the period from January 15, 2025, to September 30, 2025, the CODM changed the profitability measure reviewed for the Company's segment from Adjusted EBITDA to Adjusted net income (loss). The CODM reviews Adjusted net income (loss) for each of the reportable segments. Adjusted net income (loss) is defined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 incurred by segment. All expense categories on the condensed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w:t>
      </w:r>
      <w:r>
        <w:rPr>
          <w:rFonts w:ascii="Times New Roman" w:hAnsi="Times New Roman"/>
          <w:color w:val="000000"/>
          <w:sz w:val="20"/>
        </w:rPr>
        <w:t xml:space="preserve"> </w:t>
      </w:r>
      <w:r>
        <w:rPr>
          <w:rFonts w:ascii="Arial" w:hAnsi="Arial"/>
          <w:color w:val="000000"/>
          <w:sz w:val="20"/>
        </w:rPr>
        <w:t>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September 30, 2025 and December 31, 2024,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about the Company’s reportable segments and corporate activities are as follows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84"/>
        <w:gridCol w:w="211"/>
        <w:gridCol w:w="736"/>
        <w:gridCol w:w="166"/>
        <w:gridCol w:w="211"/>
        <w:gridCol w:w="571"/>
        <w:gridCol w:w="166"/>
        <w:gridCol w:w="211"/>
        <w:gridCol w:w="571"/>
        <w:gridCol w:w="166"/>
        <w:gridCol w:w="211"/>
        <w:gridCol w:w="736"/>
        <w:gridCol w:w="166"/>
        <w:gridCol w:w="146"/>
        <w:gridCol w:w="146"/>
        <w:gridCol w:w="211"/>
        <w:gridCol w:w="736"/>
        <w:gridCol w:w="166"/>
        <w:gridCol w:w="211"/>
        <w:gridCol w:w="631"/>
        <w:gridCol w:w="166"/>
        <w:gridCol w:w="211"/>
        <w:gridCol w:w="631"/>
        <w:gridCol w:w="166"/>
        <w:gridCol w:w="211"/>
        <w:gridCol w:w="676"/>
        <w:gridCol w:w="291"/>
      </w:tblGrid>
      <w:tr>
        <w:trPr/>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 from continuing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15"/>
        <w:gridCol w:w="211"/>
        <w:gridCol w:w="781"/>
        <w:gridCol w:w="166"/>
        <w:gridCol w:w="211"/>
        <w:gridCol w:w="571"/>
        <w:gridCol w:w="166"/>
        <w:gridCol w:w="211"/>
        <w:gridCol w:w="676"/>
        <w:gridCol w:w="166"/>
        <w:gridCol w:w="211"/>
        <w:gridCol w:w="781"/>
        <w:gridCol w:w="146"/>
        <w:gridCol w:w="146"/>
        <w:gridCol w:w="146"/>
        <w:gridCol w:w="211"/>
        <w:gridCol w:w="631"/>
        <w:gridCol w:w="166"/>
        <w:gridCol w:w="211"/>
        <w:gridCol w:w="481"/>
        <w:gridCol w:w="166"/>
        <w:gridCol w:w="224"/>
        <w:gridCol w:w="512"/>
        <w:gridCol w:w="166"/>
        <w:gridCol w:w="211"/>
        <w:gridCol w:w="631"/>
        <w:gridCol w:w="291"/>
      </w:tblGrid>
      <w:tr>
        <w:trPr/>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pPr>
      <w:r>
        <w:rPr/>
        <w:t> </w:t>
      </w:r>
    </w:p>
    <w:tbl>
      <w:tblPr>
        <w:tblW w:w="9142" w:type="dxa"/>
        <w:jc w:val="left"/>
        <w:tblInd w:w="0" w:type="dxa"/>
        <w:tblLayout w:type="fixed"/>
        <w:tblCellMar>
          <w:top w:w="28" w:type="dxa"/>
          <w:left w:w="28" w:type="dxa"/>
          <w:bottom w:w="28" w:type="dxa"/>
          <w:right w:w="28" w:type="dxa"/>
        </w:tblCellMar>
      </w:tblPr>
      <w:tblGrid>
        <w:gridCol w:w="4486"/>
        <w:gridCol w:w="211"/>
        <w:gridCol w:w="781"/>
        <w:gridCol w:w="166"/>
        <w:gridCol w:w="211"/>
        <w:gridCol w:w="676"/>
        <w:gridCol w:w="166"/>
        <w:gridCol w:w="217"/>
        <w:gridCol w:w="759"/>
        <w:gridCol w:w="166"/>
        <w:gridCol w:w="211"/>
        <w:gridCol w:w="781"/>
        <w:gridCol w:w="311"/>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reconciliation between reportable segment Adjusted net loss to consolidated net loss from continuing operations as follows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50"/>
        <w:gridCol w:w="291"/>
        <w:gridCol w:w="1024"/>
        <w:gridCol w:w="166"/>
        <w:gridCol w:w="146"/>
        <w:gridCol w:w="146"/>
        <w:gridCol w:w="324"/>
        <w:gridCol w:w="1135"/>
        <w:gridCol w:w="166"/>
        <w:gridCol w:w="146"/>
        <w:gridCol w:w="318"/>
        <w:gridCol w:w="1118"/>
        <w:gridCol w:w="166"/>
        <w:gridCol w:w="146"/>
        <w:gridCol w:w="146"/>
        <w:gridCol w:w="297"/>
        <w:gridCol w:w="952"/>
        <w:gridCol w:w="166"/>
        <w:gridCol w:w="146"/>
        <w:gridCol w:w="228"/>
        <w:gridCol w:w="911"/>
        <w:gridCol w:w="317"/>
      </w:tblGrid>
      <w:tr>
        <w:trPr/>
        <w:tc>
          <w:tcPr>
            <w:tcW w:w="17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UACC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(44,652</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(3,618</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(48,270</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Corporate income (loss) from continuing operations</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(45,382</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b/>
          <w:color w:val="000000"/>
          <w:sz w:val="20"/>
        </w:rPr>
        <w:t>17.</w:t>
      </w:r>
      <w:r>
        <w:rPr>
          <w:rFonts w:ascii="Times New Roman" w:hAnsi="Times New Roman"/>
          <w:color w:val="000000"/>
          <w:sz w:val="20"/>
        </w:rPr>
        <w:t xml:space="preserve"> </w:t>
      </w:r>
      <w:r>
        <w:rPr>
          <w:rFonts w:ascii="Arial" w:hAnsi="Arial"/>
          <w:b/>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Company’s effective tax rate from continuing operations for the three months ended September 30, 2025 and 2024</w:t>
      </w:r>
      <w:r>
        <w:rPr>
          <w:rFonts w:ascii="Times New Roman" w:hAnsi="Times New Roman"/>
          <w:color w:val="000000"/>
          <w:sz w:val="20"/>
        </w:rPr>
        <w:t xml:space="preserve"> </w:t>
      </w:r>
      <w:r>
        <w:rPr>
          <w:rFonts w:ascii="Arial" w:hAnsi="Arial"/>
          <w:color w:val="000000"/>
          <w:sz w:val="20"/>
        </w:rPr>
        <w:t>was (0.53)% and (0.33)%, respectively. The Company’s effective tax rate from continuing operations for the nine months ended September 30, 2025 and 2024</w:t>
      </w:r>
      <w:r>
        <w:rPr>
          <w:rFonts w:ascii="Times New Roman" w:hAnsi="Times New Roman"/>
          <w:color w:val="000000"/>
          <w:sz w:val="20"/>
        </w:rPr>
        <w:t xml:space="preserve"> </w:t>
      </w:r>
      <w:r>
        <w:rPr>
          <w:rFonts w:ascii="Arial" w:hAnsi="Arial"/>
          <w:color w:val="000000"/>
          <w:sz w:val="20"/>
        </w:rPr>
        <w:t>was 0.71% and (0.39)%, respectively.</w:t>
      </w:r>
    </w:p>
    <w:p>
      <w:pPr>
        <w:pStyle w:val="TextBody"/>
        <w:bidi w:val="0"/>
        <w:jc w:val="left"/>
        <w:rPr>
          <w:rFonts w:ascii="Arial" w:hAnsi="Arial"/>
          <w:color w:val="000000"/>
          <w:sz w:val="20"/>
        </w:rPr>
      </w:pPr>
      <w:r>
        <w:rPr>
          <w:rFonts w:ascii="Arial" w:hAnsi="Arial"/>
          <w:color w:val="000000"/>
          <w:sz w:val="20"/>
        </w:rPr>
        <w:t>The Company is subject to tax in the United States and many state and local jurisdictions. The Company, with certain exceptions, is no longer subject to income tax examinations by U.S. federal, state and local for tax years 2018 and prior. The Company is not currently under audit for any US federal or state income tax audits.</w:t>
      </w:r>
    </w:p>
    <w:p>
      <w:pPr>
        <w:pStyle w:val="TextBody"/>
        <w:bidi w:val="0"/>
        <w:jc w:val="left"/>
        <w:rPr>
          <w:rFonts w:ascii="Times New Roman" w:hAnsi="Times New Roman"/>
          <w:sz w:val="20"/>
        </w:rPr>
      </w:pPr>
      <w:r>
        <w:rPr>
          <w:rFonts w:ascii="Arial" w:hAnsi="Arial"/>
          <w:color w:val="000000"/>
          <w:sz w:val="20"/>
        </w:rPr>
        <w:t>The Company has not identified any uncertain tax positions as of September 30, 2025, or December 31, 2024.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color w:val="000000"/>
          <w:sz w:val="20"/>
        </w:rPr>
        <w:t>interest or penalties have been accrued in relation to uncertain tax positions.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Internal Revenue Code (“IRC”) Section 382 provides for a limitation of the annual use of net operating loss and tax credit carryforwards following certain ownership changes (as defined by the IRC Section 382). The Company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completed a Section 382 study and determined that the Company has undergone five ownership changes, the most recent of which occurred on the Effective Date. The IRC Section 382 limitations arising as a result of these ownership changes generally limit the use of the net operating losses generated before the applicable ownership change. However, an exception to the IRC Section 382 limitation applies when, among other requirements, so-called “qualified creditors” and shareholders of a corporation in a title 11 Case receive, in respect of their claims and interests, as applicable, at least 50% of the vote and value of the stock of the corporation pursuant to a confirmed chapter 11 plan (the “382(l)(5) Exception”). The Company expects that the 382(l)(5) Exception applied to the ownership change occurring on the Effective Date and, accordingly, that the Company may not have any limitation on its utilization of federal NOL carryforwards generated prior to emergence from the Prepackaged Chapter 11 Case (other than limitations which existed before the commencement of the Prepackaged Chapter 11 Case). However, the Company may be limited in its utilization of its federal NOL carryforwards generated before the Effective Date if it triggers another ownership change within two years after the Effective Date.</w:t>
      </w:r>
    </w:p>
    <w:p>
      <w:pPr>
        <w:pStyle w:val="TextBody"/>
        <w:bidi w:val="0"/>
        <w:jc w:val="left"/>
        <w:rPr>
          <w:rFonts w:ascii="Arial" w:hAnsi="Arial"/>
          <w:color w:val="000000"/>
          <w:sz w:val="20"/>
        </w:rPr>
      </w:pPr>
      <w:r>
        <w:rPr>
          <w:rFonts w:ascii="Arial" w:hAnsi="Arial"/>
          <w:color w:val="000000"/>
          <w:sz w:val="20"/>
        </w:rPr>
        <w:t>On the Effective Date, the Company consummated its Prepackaged Chapter 11 Case. For US tax purposes the Company would be required to recognize cancellation of debt income (“CODI”) in the amount equal to the excess of the adjusted issue price of the debt discharged over the value of any new debt or equity that was issued. However, IRC Section 108 provides that CODI may be excluded from gross income to the extent that the debt is discharged in a title 11 Case. In lieu of recognizing CODI, IRC Section 108 requires the Company to reduce its tax attributes, including net operating losses, capital losses, tax credits, depreciable assets, investment in subsidiaries and other investments, in the amount of the CODI that is excluded from gross income.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18. Net Income (Loss) Per Share</w:t>
      </w:r>
    </w:p>
    <w:p>
      <w:pPr>
        <w:pStyle w:val="TextBody"/>
        <w:bidi w:val="0"/>
        <w:jc w:val="left"/>
        <w:rPr>
          <w:rFonts w:ascii="Times New Roman" w:hAnsi="Times New Roman"/>
          <w:sz w:val="20"/>
        </w:rPr>
      </w:pPr>
      <w:r>
        <w:rPr>
          <w:rFonts w:ascii="Arial" w:hAnsi="Arial"/>
          <w:color w:val="000000"/>
          <w:sz w:val="20"/>
        </w:rPr>
        <w:t>The following table sets forth the computation of basic and diluted net income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81"/>
        <w:gridCol w:w="146"/>
        <w:gridCol w:w="320"/>
        <w:gridCol w:w="1463"/>
        <w:gridCol w:w="166"/>
        <w:gridCol w:w="146"/>
        <w:gridCol w:w="146"/>
        <w:gridCol w:w="320"/>
        <w:gridCol w:w="1463"/>
        <w:gridCol w:w="354"/>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(37,744</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(39,743</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income (loss)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(21.99</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5,199,581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1,807,398</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95"/>
        <w:gridCol w:w="146"/>
        <w:gridCol w:w="326"/>
        <w:gridCol w:w="1487"/>
        <w:gridCol w:w="166"/>
        <w:gridCol w:w="146"/>
        <w:gridCol w:w="146"/>
        <w:gridCol w:w="312"/>
        <w:gridCol w:w="1424"/>
        <w:gridCol w:w="166"/>
        <w:gridCol w:w="146"/>
        <w:gridCol w:w="232"/>
        <w:gridCol w:w="1060"/>
        <w:gridCol w:w="353"/>
      </w:tblGrid>
      <w:tr>
        <w:trPr/>
        <w:tc>
          <w:tcPr>
            <w:tcW w:w="4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(101,526</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(27,024</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(128,550</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(71.39</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(56.38</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(71.39</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09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1,800,729</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09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5,179,023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1,800,729</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2026"/>
        <w:gridCol w:w="146"/>
        <w:gridCol w:w="223"/>
        <w:gridCol w:w="1472"/>
        <w:gridCol w:w="146"/>
        <w:gridCol w:w="146"/>
        <w:gridCol w:w="146"/>
        <w:gridCol w:w="227"/>
        <w:gridCol w:w="1243"/>
        <w:gridCol w:w="146"/>
        <w:gridCol w:w="146"/>
        <w:gridCol w:w="261"/>
        <w:gridCol w:w="1434"/>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January 14,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September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223,355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sets forth a reconciliation from basic to diluted weighted-average number of shares outstanding used to compute net (loss) income per share attributable to common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5"/>
        <w:gridCol w:w="146"/>
        <w:gridCol w:w="323"/>
        <w:gridCol w:w="2128"/>
        <w:gridCol w:w="333"/>
      </w:tblGrid>
      <w:tr>
        <w:trPr/>
        <w:tc>
          <w:tcPr>
            <w:tcW w:w="7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Convertible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1,887,371</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Potentially dilutive common shares assumed conversion of debt using the if-converted method.</w:t>
      </w:r>
    </w:p>
    <w:p>
      <w:pPr>
        <w:pStyle w:val="TextBody"/>
        <w:bidi w:val="0"/>
        <w:jc w:val="left"/>
        <w:rPr>
          <w:rFonts w:ascii="Arial" w:hAnsi="Arial"/>
          <w:b/>
          <w:color w:val="000000"/>
          <w:sz w:val="20"/>
        </w:rPr>
      </w:pPr>
      <w:r>
        <w:rPr>
          <w:rFonts w:ascii="Arial" w:hAnsi="Arial"/>
          <w:b/>
          <w:color w:val="000000"/>
          <w:sz w:val="20"/>
        </w:rPr>
        <w:t>19. Related Party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$25.0</w:t>
      </w:r>
      <w:r>
        <w:rPr>
          <w:rFonts w:ascii="Times New Roman" w:hAnsi="Times New Roman"/>
          <w:color w:val="000000"/>
          <w:sz w:val="20"/>
        </w:rPr>
        <w:t xml:space="preserve"> </w:t>
      </w:r>
      <w:r>
        <w:rPr>
          <w:rFonts w:ascii="Arial" w:hAnsi="Arial"/>
          <w:color w:val="000000"/>
          <w:sz w:val="20"/>
        </w:rPr>
        <w:t>million Delayed Draw Facility with Mudrick Capital Management, L.P. (“Lender”), who is a 76.5% shareholder of the Company and as of January 14, 2025 became a related party. On October 9, 2025 the maximum facility amount was amended from $25.0</w:t>
      </w:r>
      <w:r>
        <w:rPr>
          <w:rFonts w:ascii="Times New Roman" w:hAnsi="Times New Roman"/>
          <w:color w:val="000000"/>
          <w:sz w:val="20"/>
        </w:rPr>
        <w:t xml:space="preserve"> </w:t>
      </w:r>
      <w:r>
        <w:rPr>
          <w:rFonts w:ascii="Arial" w:hAnsi="Arial"/>
          <w:color w:val="000000"/>
          <w:sz w:val="20"/>
        </w:rPr>
        <w:t>million to $35.0</w:t>
      </w:r>
      <w:r>
        <w:rPr>
          <w:rFonts w:ascii="Times New Roman" w:hAnsi="Times New Roman"/>
          <w:color w:val="000000"/>
          <w:sz w:val="20"/>
        </w:rPr>
        <w:t xml:space="preserve"> </w:t>
      </w:r>
      <w:r>
        <w:rPr>
          <w:rFonts w:ascii="Arial" w:hAnsi="Arial"/>
          <w:color w:val="000000"/>
          <w:sz w:val="20"/>
        </w:rPr>
        <w:t>million effective as of September 30, 2025. The Delayed Draw Facility allows for multiple drawdowns by each co-borrower, subject to satisfaction of usual and customary conditions precedent. The Delayed Draw Facility bears interest at a rate of Term SOFR</w:t>
      </w:r>
      <w:r>
        <w:rPr>
          <w:rFonts w:ascii="Times New Roman" w:hAnsi="Times New Roman"/>
          <w:color w:val="000000"/>
          <w:sz w:val="20"/>
        </w:rPr>
        <w:t xml:space="preserve"> </w:t>
      </w:r>
      <w:r>
        <w:rPr>
          <w:rFonts w:ascii="Arial" w:hAnsi="Arial"/>
          <w:color w:val="000000"/>
          <w:sz w:val="20"/>
        </w:rPr>
        <w:t>+850</w:t>
      </w:r>
      <w:r>
        <w:rPr>
          <w:rFonts w:ascii="Times New Roman" w:hAnsi="Times New Roman"/>
          <w:color w:val="000000"/>
          <w:sz w:val="20"/>
        </w:rPr>
        <w:t xml:space="preserve"> </w:t>
      </w:r>
      <w:r>
        <w:rPr>
          <w:rFonts w:ascii="Arial" w:hAnsi="Arial"/>
          <w:color w:val="000000"/>
          <w:sz w:val="20"/>
        </w:rPr>
        <w:t>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September 30, 2025, the Company did not have any Drawdown on the Delayed Draw Facility. Subsequently, during the fourth quarter of 2025, the Company drew $5.0</w:t>
      </w:r>
      <w:r>
        <w:rPr>
          <w:rFonts w:ascii="Times New Roman" w:hAnsi="Times New Roman"/>
          <w:color w:val="000000"/>
          <w:sz w:val="20"/>
        </w:rPr>
        <w:t xml:space="preserve"> </w:t>
      </w:r>
      <w:r>
        <w:rPr>
          <w:rFonts w:ascii="Arial" w:hAnsi="Arial"/>
          <w:color w:val="000000"/>
          <w:sz w:val="20"/>
        </w:rPr>
        <w:t>million against the Delayed Draw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August 29, 2025, the Company issued $10.0</w:t>
      </w:r>
      <w:r>
        <w:rPr>
          <w:rFonts w:ascii="Times New Roman" w:hAnsi="Times New Roman"/>
          <w:color w:val="000000"/>
          <w:sz w:val="20"/>
        </w:rPr>
        <w:t xml:space="preserve"> </w:t>
      </w:r>
      <w:r>
        <w:rPr>
          <w:rFonts w:ascii="Arial" w:hAnsi="Arial"/>
          <w:color w:val="000000"/>
          <w:sz w:val="20"/>
        </w:rPr>
        <w:t>million aggregate principal amount of 5.00% unsecured Convertible Notes due 2030. The 2030 Notes were issued pursuant to a Note Purchase Agreement with Annox Capital, LLC and Robert J. Mylod, Jr. Mr. Mylod is the Managing Partner of Annox Capital, LLC and the Independent Executive Chair of the board of directors of the Company. Refer to Note 11 — Long Term Debt for further details.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b/>
          <w:color w:val="000000"/>
          <w:sz w:val="20"/>
        </w:rPr>
      </w:pPr>
      <w:bookmarkStart w:id="10" w:name="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2024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Recent Events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Issuance of Related Party Note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August 29, 2025, we issued $10.0 million aggregate principal amount of 5.00% unsecured Convertible Notes due 2030 (the “2030 Notes”). The 2030 Notes were issued pursuant to a Note Purchase Agreement with Annox Capital, LLC and Robert J. Mylod, Jr. Mr. Mylod is the Managing Partner of Annox Capital, LLC and the Independent Executive Chair of the board of directors of the Company.</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Recapitalization of Balance Sheet Debt: the Prepackaged Chapter 11 Case</w:t>
      </w:r>
    </w:p>
    <w:p>
      <w:pPr>
        <w:pStyle w:val="TextBody"/>
        <w:bidi w:val="0"/>
        <w:jc w:val="left"/>
        <w:rPr>
          <w:rFonts w:ascii="Arial" w:hAnsi="Arial"/>
          <w:color w:val="000000"/>
          <w:sz w:val="20"/>
        </w:rPr>
      </w:pPr>
      <w:r>
        <w:rPr>
          <w:rFonts w:ascii="Arial" w:hAnsi="Arial"/>
          <w:color w:val="000000"/>
          <w:sz w:val="20"/>
        </w:rPr>
        <w:t>On November 13, 2024, we commenced a voluntary proceeding (the "Prepackaged Chapter 11 Case") under Chapter 11 of the United States Code, 11 U.S.C. §§ 101-1532, as amended from time to in the United States Bankruptcy Court for the Southern District of Texas under the name “In re Vroom, Inc.” None of our subsidiaries were debtors in the Chapter 11 proceedings.</w:t>
      </w:r>
    </w:p>
    <w:p>
      <w:pPr>
        <w:pStyle w:val="TextBody"/>
        <w:bidi w:val="0"/>
        <w:jc w:val="left"/>
        <w:rPr>
          <w:rFonts w:ascii="Arial" w:hAnsi="Arial"/>
          <w:color w:val="000000"/>
          <w:sz w:val="20"/>
        </w:rPr>
      </w:pPr>
      <w:r>
        <w:rPr>
          <w:rFonts w:ascii="Arial" w:hAnsi="Arial"/>
          <w:color w:val="000000"/>
          <w:sz w:val="20"/>
        </w:rPr>
        <w:t>On January 14, 2025 (the “Effective Date”), the conditions to the effectiveness of the prepackaged plan of reorganization (the “Plan”) were satisfied or waived and the Plan became effective. We emerged from the Prepackaged Chapter 11 Case on January 14, 2025. On February 20, 2025, our common stock was re-listed for trading on the Nasdaq Global Market.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Prepackaged Chapter 11 Case, the ordinary course operations of Vroom, Inc.’s subsidiaries continued with minimal impact. We emerged without any remaining Convertible Notes due 2026 (the “2026 Notes”) or long-term debt at the Vroom, Inc. level, but still maintain UACC’s Warehouse Credit Facilities (as defined below), securitization debt, risk retention financing in securitizations, and junior subordinated debentures.</w:t>
      </w:r>
    </w:p>
    <w:p>
      <w:pPr>
        <w:pStyle w:val="TextBody"/>
        <w:bidi w:val="0"/>
        <w:jc w:val="left"/>
        <w:rPr>
          <w:rFonts w:ascii="Arial" w:hAnsi="Arial"/>
          <w:color w:val="000000"/>
          <w:sz w:val="20"/>
        </w:rPr>
      </w:pPr>
      <w:r>
        <w:rPr>
          <w:rFonts w:ascii="Arial" w:hAnsi="Arial"/>
          <w:color w:val="000000"/>
          <w:sz w:val="20"/>
        </w:rPr>
        <w:t>The Prepackaged Chapter 11 Case was intended to address the impact of the 2026 Notes and their upcoming maturity, or any potential acceleration, while providing the potential for our stockholders to retain value in their investment, limiting disruption to our ongoing ordinary course operations, emerging as a public company without any long-term debt at the Vroom, Inc. level, and maximizing the ability to utilize a substantial portion of our net operating losses. See “Liquidity and Capital Resources” for more information on our Notes and the restructuring of our debt obligations as a result of the Prepackaged Chapter 11 Case, and Part I, Item 1A Risk Factors for risks associated with the Prepackaged Chapter 11 Case and our ability to realize its intended benefits.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Conversion of Common Stock</w:t>
      </w:r>
    </w:p>
    <w:p>
      <w:pPr>
        <w:pStyle w:val="TextBody"/>
        <w:bidi w:val="0"/>
        <w:jc w:val="left"/>
        <w:rPr>
          <w:rFonts w:ascii="Times New Roman" w:hAnsi="Times New Roman"/>
          <w:sz w:val="20"/>
        </w:rPr>
      </w:pPr>
      <w:r>
        <w:rPr>
          <w:rFonts w:ascii="Arial" w:hAnsi="Arial"/>
          <w:color w:val="000000"/>
          <w:sz w:val="20"/>
        </w:rPr>
        <w:t>Immediately prior to the Effective Date, there were 1,822,577 outstanding shares of our common stock, $0.001 par value per share (the “Common Stock”). We adopted an Amended and Restated Certificate of Incorporation (the “Certificate of Incorporation”) to, among other changes to our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Issuance of Warrants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the Effective Date, we entered into a warrant agreement (the “Warrant Agreement”) with Equiniti Trust Company LLC, as warrant agent. In accordance with the Plan and pursuant to the Warrant Agreement, on the Effective Date, we issued warrants (the “Warrants”) to purchase an aggregate of 364,516 shares of the New Common Stock, at an exercise price of $60.95 per share, to our stockholders in accordance with the Prepackaged Chapter 11 Case. Each Warrant was immediately exercisable upon the issuance date and will expire five years from the issuance date. On July 7, 2025, the Warrants commenced trading on the OTCQX Best Market under the symbol “VRMWW”.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the Effective Date, we emerged from the Prepackaged Chapter 11 Case and continue to operate as a viable 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Vroom owns United Auto Credit Corporation, a leading automotive finance company that offers vehicle financing to consumers through third-party dealers under the UACC brand, and CarStory, a leader in AI-powered analytics and digital services for automotive retail.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UACC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which Vroom acquired in February 2022, is an indirect lender that offers vehicle financing under the UACC brand to consumers through third-party dealers, focusing primarily on the non-prime market. Prior to the Ecommerce Wind-Down, UACC also offered vehicle financing to Vroom’s customers through its ecommerce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light-duty trucks and vans with competitive financing terms. The credit programs offered by UACC are primarily designed to serve consumers who have limited access to traditional motor vehicle financing.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September 30, 2025, UACC serviced a portfolio of approximately 78,000 retail installment sales contracts with an aggregate principal outstanding balance of $1.0 billion.</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CarStory</w:t>
      </w:r>
    </w:p>
    <w:p>
      <w:pPr>
        <w:pStyle w:val="TextBody"/>
        <w:bidi w:val="0"/>
        <w:spacing w:before="240" w:after="240"/>
        <w:jc w:val="left"/>
        <w:rPr>
          <w:rFonts w:ascii="Times New Roman" w:hAnsi="Times New Roman"/>
          <w:sz w:val="20"/>
        </w:rPr>
      </w:pPr>
      <w:r>
        <w:rPr>
          <w:rFonts w:ascii="Arial" w:hAnsi="Arial"/>
          <w:color w:val="000000"/>
          <w:sz w:val="20"/>
        </w:rPr>
        <w:t>CarStory offers AI-powered analytics and digital services to dealers, automotive financial services companies and others in the automotive industry, which use CarStory’s solutions to enhance their customer experience and drive increased vehicle purchases.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Leveraging computer vision and AI, CarStory has curated a comprehensive used vehicle information database, including over 248 million vehicle identification numbers ("VINs"), 194 million window stickers, 4.1 billion vehicle photos and 397 million sales cycles, along with price and price elasticity models.</w:t>
      </w:r>
      <w:r>
        <w:rPr>
          <w:rFonts w:ascii="Times New Roman" w:hAnsi="Times New Roman"/>
          <w:color w:val="000000"/>
          <w:sz w:val="20"/>
        </w:rPr>
        <w:t xml:space="preserve"> </w:t>
      </w:r>
      <w:r>
        <w:rPr>
          <w:rFonts w:ascii="Arial" w:hAnsi="Arial"/>
          <w:color w:val="000000"/>
          <w:sz w:val="20"/>
        </w:rPr>
        <w:t xml:space="preserve">CarStory receives data for over four and a half million unique VINs listed for sale every day, resulting in CarStory having data for an estimated 90% of U.S. consumer vehicles. </w:t>
      </w:r>
      <w:r>
        <w:rPr>
          <w:rFonts w:ascii="Arial" w:hAnsi="Arial"/>
          <w:color w:val="1D1C1D"/>
          <w:sz w:val="20"/>
        </w:rPr>
        <w:t>This data is aggregated with demand insights from millions of consumer sessions and data from CarStory’s proprietary VIN database to generate more accurate vehicle valuations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CarStory helps dealers optimize their pricing by leveraging data science models for retail pricing that provide predictive pricing for marketing, buying, selling and VIN-level features. Unlike simple averages, we believe CarStory’s patented neural-net algorithm can provide a highly accurate market price (the “CarStory Real Market Price”) for vehicle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valuations. We believe that the CarStory Real Market Price accounts for factors that averages often miss, such as local market dynamics and dealer performance.</w:t>
      </w:r>
    </w:p>
    <w:p>
      <w:pPr>
        <w:pStyle w:val="TextBody"/>
        <w:bidi w:val="0"/>
        <w:spacing w:before="0" w:after="240"/>
        <w:jc w:val="left"/>
        <w:rPr>
          <w:rFonts w:ascii="Arial" w:hAnsi="Arial"/>
          <w:color w:val="000000"/>
          <w:sz w:val="20"/>
        </w:rPr>
      </w:pPr>
      <w:r>
        <w:rPr>
          <w:rFonts w:ascii="Arial" w:hAnsi="Arial"/>
          <w:color w:val="000000"/>
          <w:sz w:val="20"/>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pStyle w:val="TextBody"/>
        <w:bidi w:val="0"/>
        <w:jc w:val="center"/>
        <w:rPr>
          <w:rFonts w:ascii="Arial" w:hAnsi="Arial"/>
          <w:b/>
          <w:color w:val="000000"/>
          <w:sz w:val="20"/>
          <w:u w:val="single"/>
        </w:rPr>
      </w:pPr>
      <w:r>
        <w:rPr>
          <w:rFonts w:ascii="Arial" w:hAnsi="Arial"/>
          <w:b/>
          <w:color w:val="000000"/>
          <w:sz w:val="20"/>
          <w:u w:val="single"/>
        </w:rPr>
        <w:t>Long-term Strategic Plan</w:t>
      </w:r>
    </w:p>
    <w:p>
      <w:pPr>
        <w:pStyle w:val="TextBody"/>
        <w:bidi w:val="0"/>
        <w:jc w:val="left"/>
        <w:rPr>
          <w:rFonts w:ascii="Arial" w:hAnsi="Arial"/>
          <w:color w:val="000000"/>
          <w:sz w:val="20"/>
        </w:rPr>
      </w:pPr>
      <w:r>
        <w:rPr>
          <w:rFonts w:ascii="Arial" w:hAnsi="Arial"/>
          <w:color w:val="000000"/>
          <w:sz w:val="20"/>
        </w:rPr>
        <w:t>Since the announcement of the Value Maximization Plan in January 2024, we have been focused on building a long-term strategic plan leveraging our remaining assets to improve the profitability of the business and achieve three key objectives: achieve pre-COVID Cumulative Net Losses ("CNL") or lower, grow origination with pre-COVID CNL or lower, and lower operating cost.</w:t>
      </w:r>
    </w:p>
    <w:p>
      <w:pPr>
        <w:pStyle w:val="TextBody"/>
        <w:bidi w:val="0"/>
        <w:jc w:val="left"/>
        <w:rPr>
          <w:rFonts w:ascii="Arial" w:hAnsi="Arial"/>
          <w:color w:val="000000"/>
          <w:sz w:val="20"/>
        </w:rPr>
      </w:pPr>
      <w:r>
        <w:rPr>
          <w:rFonts w:ascii="Arial" w:hAnsi="Arial"/>
          <w:color w:val="000000"/>
          <w:sz w:val="20"/>
        </w:rPr>
        <w:t>In order to achieve these objectives, we are focused on four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lending program: Focus on using advanced models and analytics to predict losses and drive profitable growth, bringing subprime CNL to pre-COVID levels. Expand the near-prime program to enable UACC to become a more significant partner to dealers.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sales and marketing program: Attract and retain the best dealers and drive deeper dealer engagement to enable growth. Improve the Fast Lane, a portal built to provide the dealer with everything they need from application through contracting.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originations: Enhance systemic capabilities and decisioning for a more efficient process. Integrate Vroom patent-pending AI agent into UACC's funding process to reduce costs, improve accuracy, and reduce fraud. Build a pre-verification automated engine to improve dealer service, improve credit quality and increase capture rates.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servicing: Utilize data science, advanced analytics and technology to enable an improved approach to servicing effectiveness. Utilize the native consumer mobile app, which was launched in September 2024, to improve customer engagement and communication and target more on-time payments.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U.S. GAAP, we believe certain non-GAAP financial measures are useful in evaluating our operating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period from January 15, 2025, to September 30, 2025, we changed one of the measures that we review to evaluate our performance from Adjusted EBITDA to Adjusted net income (loss). Adjusted net income (loss) is a supplemental performance measure that our management uses to assess our operating performance and the operating leverage in our business. Adjusted net income (loss) facilitates internal comparisons of our historical operating performance on a more consistent basis, therefore we use this measure for business planning purposes.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Management believes Adjusted net income (loss) is a better indication of our profitability on a Non-GAAP basis as we no longer have significant depreciation and amortization expenses as a result of the fresh start accounting and we recorded our intangible assets at fair value upon emergence from the Prepackaged Chapter 11 Case. Additionally, due to the elimination of our long-term debt in the Prepackaged Chapter 11 Case we have significantly lower 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net income (loss) has limitations as an analytical tool because it does not reflect all of the amounts associated with our results of operations as determined in accordance with U.S. GAAP. Additionally, it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this non-GAAP financial measure should be considered along with other operating and financial performance measures presented in accordance with U.S. GAAP. The presentation of this non-GAAP financial measure is not intended to be considered in isolation or as a substitute for, or superior to, financial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prepared and presented in accordance with U.S. GAAP. We have reconciled this non-GAAP financial measure with the most directly comparable U.S. GAAP financial measure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net loss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a reconciliation of Adjusted net loss to net income (loss) from continuing operations, which is the most directly comparable U.S. GAAP measure (in thousands):</w:t>
      </w:r>
    </w:p>
    <w:p>
      <w:pPr>
        <w:pStyle w:val="TextBody"/>
        <w:bidi w:val="0"/>
        <w:jc w:val="left"/>
        <w:rPr/>
      </w:pPr>
      <w:r>
        <w:rPr/>
        <w:t> </w:t>
      </w:r>
    </w:p>
    <w:tbl>
      <w:tblPr>
        <w:tblW w:w="10116" w:type="dxa"/>
        <w:jc w:val="left"/>
        <w:tblInd w:w="0" w:type="dxa"/>
        <w:tblLayout w:type="fixed"/>
        <w:tblCellMar>
          <w:top w:w="28" w:type="dxa"/>
          <w:left w:w="28" w:type="dxa"/>
          <w:bottom w:w="28" w:type="dxa"/>
          <w:right w:w="28" w:type="dxa"/>
        </w:tblCellMar>
      </w:tblPr>
      <w:tblGrid>
        <w:gridCol w:w="3001"/>
        <w:gridCol w:w="146"/>
        <w:gridCol w:w="698"/>
        <w:gridCol w:w="2452"/>
        <w:gridCol w:w="166"/>
        <w:gridCol w:w="146"/>
        <w:gridCol w:w="146"/>
        <w:gridCol w:w="699"/>
        <w:gridCol w:w="245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(33,330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3"/>
        <w:gridCol w:w="146"/>
        <w:gridCol w:w="431"/>
        <w:gridCol w:w="1513"/>
        <w:gridCol w:w="166"/>
        <w:gridCol w:w="146"/>
        <w:gridCol w:w="146"/>
        <w:gridCol w:w="435"/>
        <w:gridCol w:w="1525"/>
        <w:gridCol w:w="166"/>
        <w:gridCol w:w="146"/>
        <w:gridCol w:w="299"/>
        <w:gridCol w:w="1013"/>
        <w:gridCol w:w="166"/>
        <w:gridCol w:w="146"/>
        <w:gridCol w:w="274"/>
        <w:gridCol w:w="1099"/>
        <w:gridCol w:w="215"/>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w:t>
              <w:br/>
              <w:t>September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Bankruptcy costs (post-emergence)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(33,297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(39,095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(88,905</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Combined Nine Months Ended September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results for the periods from January 1, 2025 through January 14, 2025 and the three and nine months ended September 30, 2024 are referred to as those of the “Predecessor” periods. Our financial results for the periods from January 15, 2025 through September 30, 2025 and the three months ended September 30, 2025 are referred to as those of the “Successor” periods. Our results of operations as reported in our Condensed Consolidated Financial Statements for these periods are prepared in accordance with U.S. GAAP. Although U.S. GAAP requires that we report our results for the period from January 1, 2025 through January 14, 2025 and the period from January 15, 2025 through September 30, 2025 separately, management views our operating results for the nine months ended September 30,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September 30, 2025 against any of the previous periods reported in our Condensed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Condensed Consolidated Financial Statements in accordance with U.S. GAAP, the tables and discussion below also present the combined results for the nine months ended September 30, 2025. The combined results for the nine months ended September 30, 2025 represent the sum of the reported amounts for the Predecessor period from January 1, 2025 through January 14, 2025 and the Successor period from January 15, 2025 through September 30, 2025. These combined results are not considered to be prepared in accordance with U.S.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nine months ended September 30, 2025 (prepared on a Non-GAAP basis) and nine months ended September 30, 2024 (prepared on a GAAP basis) may not be comparable, particularly for statement of operations line items significantly impacted by the Reorganization transactions and the impact of fresh start accounting.</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Prepackaged Chapter 11 Case</w:t>
      </w:r>
    </w:p>
    <w:p>
      <w:pPr>
        <w:pStyle w:val="TextBody"/>
        <w:bidi w:val="0"/>
        <w:jc w:val="both"/>
        <w:rPr>
          <w:rFonts w:ascii="Arial" w:hAnsi="Arial"/>
          <w:color w:val="000000"/>
          <w:sz w:val="20"/>
        </w:rPr>
      </w:pPr>
      <w:r>
        <w:rPr>
          <w:rFonts w:ascii="Arial" w:hAnsi="Arial"/>
          <w:color w:val="000000"/>
          <w:sz w:val="20"/>
        </w:rPr>
        <w:t>Even though we have emerged from the Prepackaged Chapter 11 Case, our Prepackaged Chapter 11 Case could have a material adverse effect on our business, financial condition, results of operations and liquidity. For example, it could adversely affect our business and relationships with customers, vendors, contractors, employees or suppliers. Furthermore, we may not realize any or all of the intended benefits of the Prepackaged Chapter 11 Case, the benefits may not be on the terms, in the manner, or during the time period we expect, and the costs incurred may exceed the intended benefits. The occurrence of one or more of these events could have a material and adverse effect on our operations, financial condition and reputation and we cannot assure you that having been subject to bankruptcy proceedings will not adversely affect our operations in the future. Additionally, other risks we face, as described in our Annual Report on Form 10-K for the year ended December 31, 2024, may be exacerbated by the impacts of our emergence from the Prepackaged Chapter 11 Case. All of these factors could limit our ability to pursue growth strategies for our business in the near- to mid-term.</w:t>
      </w:r>
    </w:p>
    <w:p>
      <w:pPr>
        <w:pStyle w:val="TextBody"/>
        <w:bidi w:val="0"/>
        <w:jc w:val="both"/>
        <w:rPr/>
      </w:pPr>
      <w:r>
        <w:rPr/>
        <w:t> </w:t>
      </w:r>
    </w:p>
    <w:p>
      <w:pPr>
        <w:pStyle w:val="TextBody"/>
        <w:bidi w:val="0"/>
        <w:spacing w:before="0" w:after="160"/>
        <w:jc w:val="left"/>
        <w:rPr>
          <w:rFonts w:ascii="Arial" w:hAnsi="Arial"/>
          <w:b/>
          <w:i/>
          <w:color w:val="000000"/>
          <w:sz w:val="20"/>
        </w:rPr>
      </w:pPr>
      <w:r>
        <w:rPr>
          <w:rFonts w:ascii="Arial" w:hAnsi="Arial"/>
          <w:b/>
          <w:i/>
          <w:color w:val="000000"/>
          <w:sz w:val="20"/>
        </w:rPr>
        <w:t>Fresh Start Accounting</w:t>
      </w:r>
    </w:p>
    <w:p>
      <w:pPr>
        <w:pStyle w:val="TextBody"/>
        <w:bidi w:val="0"/>
        <w:jc w:val="both"/>
        <w:rPr>
          <w:rFonts w:ascii="Arial" w:hAnsi="Arial"/>
          <w:color w:val="000000"/>
          <w:sz w:val="20"/>
        </w:rPr>
      </w:pPr>
      <w:r>
        <w:rPr>
          <w:rFonts w:ascii="Arial" w:hAnsi="Arial"/>
          <w:color w:val="000000"/>
          <w:sz w:val="20"/>
        </w:rPr>
        <w:t>Upon emergence from the Prepackaged Chapter 11 Case, we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which emphasizes the lack of comparability between amounts presented. References to “Successor” relate to our financial position and results of operations after the Effective Date. References to “Predecessor” refer to our financial position and results of operations on or before the Effective Date. For further information on comparability of Predecessor and Successor periods, see discussion within Results of Operations section below.</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manage credit losses</w:t>
      </w:r>
    </w:p>
    <w:p>
      <w:pPr>
        <w:pStyle w:val="TextBody"/>
        <w:bidi w:val="0"/>
        <w:spacing w:before="0" w:after="160"/>
        <w:jc w:val="left"/>
        <w:rPr>
          <w:rFonts w:ascii="Arial" w:hAnsi="Arial"/>
          <w:color w:val="000000"/>
          <w:sz w:val="20"/>
        </w:rPr>
      </w:pPr>
      <w:r>
        <w:rPr>
          <w:rFonts w:ascii="Arial" w:hAnsi="Arial"/>
          <w:color w:val="000000"/>
          <w:sz w:val="20"/>
        </w:rPr>
        <w:t>While credit losses are inherent in the automotive finance receivables business, several variables have negatively affected UACC’s recent loss and delinquency rates, including higher interest rates, the current inflationary environment and vehicle depreciation, which has negatively impacted the fair value of our finance receivables and the losses recognized for the nine months ended September 30, 2025. While we expect long term improvements in our finance receivable portfolio, we expect some downward trends to continue to negatively impact our business for the remainder of 2025 and into 2026.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tighten our credit program. We initially saw some improvements with the 2023 and 2024 vintages as a result of theses changes. Subsequently, macroeconomic factors have negatively impacted these vintages. This unfavorable loan performance continued on 2025 originations, resulting in us making further refinements to our credit program in order to improve performance. We also intend to leverage CarStory data to improve VIN-level valuations to support underwriting decisions and servicing operations. Certain advance rates available to UACC on borrowings from the Warehouse Credit Facilities have decreased and any future decreases on available advance rates may have an adverse impact on our liquidity.</w:t>
      </w:r>
    </w:p>
    <w:p>
      <w:pPr>
        <w:pStyle w:val="TextBody"/>
        <w:bidi w:val="0"/>
        <w:jc w:val="left"/>
        <w:rPr>
          <w:rFonts w:ascii="Times New Roman" w:hAnsi="Times New Roman"/>
          <w:sz w:val="20"/>
        </w:rPr>
      </w:pPr>
      <w:r>
        <w:rPr>
          <w:rFonts w:ascii="Arial" w:hAnsi="Arial"/>
          <w:b/>
          <w:i/>
          <w:color w:val="000000"/>
          <w:sz w:val="20"/>
        </w:rPr>
        <w:t>Enhance profitability at UACC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pStyle w:val="TextBody"/>
        <w:bidi w:val="0"/>
        <w:jc w:val="left"/>
        <w:rPr>
          <w:rFonts w:ascii="Times New Roman" w:hAnsi="Times New Roman"/>
          <w:sz w:val="20"/>
        </w:rPr>
      </w:pPr>
      <w:r>
        <w:rPr>
          <w:rFonts w:ascii="Arial" w:hAnsi="Arial"/>
          <w:b/>
          <w:i/>
          <w:color w:val="000000"/>
          <w:sz w:val="20"/>
        </w:rPr>
        <w:t>Ability to continue to access capital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of September 30, 2025, UACC had three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 There can be no assurance that UACC will be able to complete additional securitizations in the future, particularly if the securitization markets become constrained.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senior secured warehouse credit facility agreements (the “Warehouse Credit Facilities”) have decreased and any future decreases on available advance rates may have an adverse impact on our liquidity. We continue to evaluate the effectiveness of our controls to ensure appropriate pledging of collateral balances.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September 30, 2025, we renewed three of our Warehouse Credit Facilities, with an aggregate borrowing capacity of $600 million, now expiring in June 2026, April 2027, and August 2026, respectively. Warehouse Credit Facility One, which had a borrowing capacity of $200 million, expired on July 21, 2025, pursuant to its terms, and we elected not to renew this commitment on the basis that borrowing capacity from our other Warehouse Credit Facilities is sufficient to support our current operational needs. However, there can be no assurance that adequate additional financing will be available to us on acceptable terms, or at all.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See "Risk Factors—We may not generate sufficient liquidity to operate our business, UACC's securitizations may expose it to financing and other risks, and there can be no assurance that it will be able to access the securitization market in the future, which may require it to seek more costly financing, and, UACC may be unable to continue to access or renew funding sources and obtain capital needed to maintain and grow its business" in our Annual Report on Form 10-K for the year ended December 31, 2024.</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optimize our dealer network to increase vehicle finance offerings</w:t>
      </w:r>
    </w:p>
    <w:p>
      <w:pPr>
        <w:pStyle w:val="TextBody"/>
        <w:bidi w:val="0"/>
        <w:jc w:val="left"/>
        <w:rPr>
          <w:rFonts w:ascii="Arial" w:hAnsi="Arial"/>
          <w:color w:val="000000"/>
          <w:sz w:val="20"/>
        </w:rPr>
      </w:pPr>
      <w:r>
        <w:rPr>
          <w:rFonts w:ascii="Arial" w:hAnsi="Arial"/>
          <w:color w:val="000000"/>
          <w:sz w:val="20"/>
        </w:rPr>
        <w:t>We intend to moderately grow our automotive financing business while focusing on achieving profitability. UACC will seek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pStyle w:val="TextBody"/>
        <w:bidi w:val="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 on Form 10-K for the year ended December 31, 2024.</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rFonts w:ascii="Arial" w:hAnsi="Arial"/>
          <w:color w:val="000000"/>
          <w:sz w:val="20"/>
        </w:rPr>
      </w:pPr>
      <w:r>
        <w:rPr>
          <w:rFonts w:ascii="Arial" w:hAnsi="Arial"/>
          <w:color w:val="000000"/>
          <w:sz w:val="20"/>
        </w:rPr>
        <w:t>The United States and global economies have recently and are continuing to experience a sustained inflationary environment. The Federal Reserve’s efforts to tame inflation have led to increased interest rates, which affects automotive finance rates and our borrowing rates, thereby reducing discretionary spending and impacting consumer sentiment and making vehicle financing more costly and less accessible or desirable to many consumers. While interest rate cuts were expected in 2024, only slight cuts were enacted in the latter half of that year. Additional cuts were made in the beginning of 2025 and based on the October 2025 meeting, the Federal Reserve officials voted for another quarter-point rate cut, lowering their benchmark lending rate to the lowest in three years. We are not able to predict if, when, and to what degree rates may change and the impact it may have on the economy and our business.</w:t>
      </w:r>
    </w:p>
    <w:p>
      <w:pPr>
        <w:pStyle w:val="TextBody"/>
        <w:bidi w:val="0"/>
        <w:jc w:val="left"/>
        <w:rPr>
          <w:rFonts w:ascii="Arial" w:hAnsi="Arial"/>
          <w:color w:val="000000"/>
          <w:sz w:val="20"/>
        </w:rPr>
      </w:pPr>
      <w:r>
        <w:rPr>
          <w:rFonts w:ascii="Arial" w:hAnsi="Arial"/>
          <w:color w:val="000000"/>
          <w:sz w:val="20"/>
        </w:rPr>
        <w:t>In addition, the current U.S. Presidential administration has announced (and in some cases, partially delayed or rescinded) new tariffs on imports to the United States from other countries. Many countries have announced plans to impose retaliatory tariffs as well as other trade restrictions and retaliatory measures. Such significant tariffs, restrictions or other retaliatory measures could have a major impact on the United States automotive industry, which depends heavily on cross border trade. Should additional tariffs be implemented and sustained by the United States and other countries for an extended period of time, they would have a significant adverse effect, including financial, on the automotive industry. Further, any additional restrictions by the United States or other governments would exacerbate the impact, as could the uncertainty regarding the magnitude or duration of these measures. Additionally, fragility in the supply chain exacerbated by tariffs and other industry concerns, such as restrictions related to rare earth minerals, increases the risk of production disruptions in the automotive industry. Steps taken by governments to implement tariffs or other restrictions on raw materials (including steel and rare earth minerals), automobiles, parts, and other products and materials have the potential to disrupt existing supply chains and impose additional costs on businesses in the automotive industry in the United States and globally. While negotiations regarding tariffs and other restrictions are ongoing and changing rapidly, if the resulting environment of retaliatory tariffs or other practices of additional trade restrictions or barriers increase automobile prices in the U.S. or cause volatility, this could lead to negative consumer sentiment and decreased consumer demand for automobiles, and in turn, decreased demand for motor vehicle contracts financed through UACC, which would negatively impact our results of operations, cash flows, and financial condition.</w:t>
      </w:r>
    </w:p>
    <w:p>
      <w:pPr>
        <w:pStyle w:val="TextBody"/>
        <w:bidi w:val="0"/>
        <w:jc w:val="left"/>
        <w:rPr>
          <w:rFonts w:ascii="Times New Roman" w:hAnsi="Times New Roman"/>
          <w:sz w:val="20"/>
        </w:rPr>
      </w:pPr>
      <w:r>
        <w:rPr>
          <w:rFonts w:ascii="Arial" w:hAnsi="Arial"/>
          <w:color w:val="000000"/>
          <w:sz w:val="20"/>
        </w:rPr>
        <w:t>Moreover, geopolitical conflicts and war, including those in Europe and the Middle East, have increased global economic and political uncertainty, which has caused dramatic fluctuations in global financial markets. Ongoing economic and political disruption, or a significant escalation or expansion of such disruption could continue to impact consumer sentiment and spending, broaden inflationary costs, and could have a material adverse effect on our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October 1, 2025, the U.S. government shut down and certain regulatory agencies, such as the Securities and Exchange Commission, have had to furlough critical government employees and stop critical activities. If a prolonged government shutdown occurs, it could impact our ability to access the public capital markets and obtain necessary capital in order to properly fund our operations. Additionally, an extended period of shutdown of portions of the U.S. federal government could negatively impact our customer base. Prolonged adverse political and economic conditions could have a material adverse effect on the U.S. and global economy our business, financial condition and results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 through 2025.</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We historically managed and reported operating results through three reportable segments. As a result of the Value Maximization Plan and the wind-down of our ecommerce operations, we discontinued reporting our results through our Ecommerce and Wholesale segments starting in the first quarter of 2024. We are now organized into two reportable segments: UACC and CarStory.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presents our condensed consolidated results of operations for the periods indicated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76"/>
        <w:gridCol w:w="146"/>
        <w:gridCol w:w="392"/>
        <w:gridCol w:w="1370"/>
        <w:gridCol w:w="166"/>
        <w:gridCol w:w="146"/>
        <w:gridCol w:w="146"/>
        <w:gridCol w:w="406"/>
        <w:gridCol w:w="1426"/>
        <w:gridCol w:w="166"/>
        <w:gridCol w:w="146"/>
        <w:gridCol w:w="211"/>
        <w:gridCol w:w="736"/>
        <w:gridCol w:w="166"/>
        <w:gridCol w:w="146"/>
        <w:gridCol w:w="172"/>
        <w:gridCol w:w="744"/>
        <w:gridCol w:w="444"/>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235.9</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4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118.3</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7"/>
        <w:gridCol w:w="146"/>
        <w:gridCol w:w="231"/>
        <w:gridCol w:w="858"/>
        <w:gridCol w:w="166"/>
        <w:gridCol w:w="146"/>
        <w:gridCol w:w="146"/>
        <w:gridCol w:w="276"/>
        <w:gridCol w:w="888"/>
        <w:gridCol w:w="166"/>
        <w:gridCol w:w="146"/>
        <w:gridCol w:w="217"/>
        <w:gridCol w:w="804"/>
        <w:gridCol w:w="166"/>
        <w:gridCol w:w="146"/>
        <w:gridCol w:w="220"/>
        <w:gridCol w:w="881"/>
        <w:gridCol w:w="166"/>
        <w:gridCol w:w="146"/>
        <w:gridCol w:w="211"/>
        <w:gridCol w:w="781"/>
        <w:gridCol w:w="166"/>
        <w:gridCol w:w="146"/>
        <w:gridCol w:w="198"/>
        <w:gridCol w:w="778"/>
        <w:gridCol w:w="423"/>
      </w:tblGrid>
      <w:tr>
        <w:trPr/>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357.3</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(84.6</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w:t>
            </w:r>
          </w:p>
        </w:tc>
        <w:tc>
          <w:tcPr>
            <w:tcW w:w="4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102.5</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103.2</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UACC</w:t>
      </w:r>
      <w:r>
        <w:rPr>
          <w:rFonts w:ascii="Arial" w:hAnsi="Arial"/>
          <w:color w:val="000000"/>
          <w:sz w:val="20"/>
        </w:rPr>
        <w:t>: The UACC reportable segment represents UACC’s operations with its network of third-party dealership customers, including the purchases and servicing of vehicle retail installment sales contracts. The segment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CarStory</w:t>
      </w:r>
      <w:r>
        <w:rPr>
          <w:rFonts w:ascii="Arial" w:hAnsi="Arial"/>
          <w:color w:val="000000"/>
          <w:sz w:val="20"/>
        </w:rPr>
        <w:t>: 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Combined Nine Months Ended September 30, 2025 and September 30, 2024</w:t>
      </w:r>
    </w:p>
    <w:p>
      <w:pPr>
        <w:pStyle w:val="TextBody"/>
        <w:bidi w:val="0"/>
        <w:jc w:val="left"/>
        <w:rPr>
          <w:rFonts w:ascii="Arial" w:hAnsi="Arial"/>
          <w:color w:val="000000"/>
          <w:sz w:val="20"/>
        </w:rPr>
      </w:pPr>
      <w:r>
        <w:rPr>
          <w:rFonts w:ascii="Arial" w:hAnsi="Arial"/>
          <w:color w:val="000000"/>
          <w:sz w:val="20"/>
        </w:rPr>
        <w:t>The Successor Period and the Predecessor Periods are distinct reporting periods as a result of our emergence from the Prepackaged Chapter 11 Case on January 14, 2025. References in these results of operations to the change and the percentage change combine the period from January 1, 2025, to January 14, 2025 (Predecessor) with the period from January 15, 2025 to September 30, 2025 (Successor) Period, which we refer to as the nine months ended September 30, 2025, in order to provide some comparability of such information to the nine months ended September 30, 2024. See "Non-GAAP Financial Measures" above.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Three Months Ended September 30, 2025 and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420"/>
        <w:gridCol w:w="1476"/>
        <w:gridCol w:w="166"/>
        <w:gridCol w:w="146"/>
        <w:gridCol w:w="146"/>
        <w:gridCol w:w="146"/>
        <w:gridCol w:w="146"/>
        <w:gridCol w:w="442"/>
        <w:gridCol w:w="1552"/>
        <w:gridCol w:w="166"/>
        <w:gridCol w:w="146"/>
        <w:gridCol w:w="211"/>
        <w:gridCol w:w="736"/>
        <w:gridCol w:w="166"/>
        <w:gridCol w:w="146"/>
        <w:gridCol w:w="183"/>
        <w:gridCol w:w="793"/>
        <w:gridCol w:w="442"/>
      </w:tblGrid>
      <w:tr>
        <w:trPr/>
        <w:tc>
          <w:tcPr>
            <w:tcW w:w="257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(325.5</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8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w:t>
            </w:r>
          </w:p>
        </w:tc>
        <w:tc>
          <w:tcPr>
            <w:tcW w:w="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4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for income taxes from continuing operations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acquires and services finance receivables from its network of third-party dealership customers and generates interest income. Prior to our Prepackaged Chapter 11 Case</w:t>
      </w:r>
      <w:r>
        <w:rPr>
          <w:rFonts w:ascii="Times New Roman" w:hAnsi="Times New Roman"/>
          <w:color w:val="000000"/>
          <w:sz w:val="20"/>
        </w:rPr>
        <w:t xml:space="preserve"> </w:t>
      </w:r>
      <w:r>
        <w:rPr>
          <w:rFonts w:ascii="Arial" w:hAnsi="Arial"/>
          <w:color w:val="000000"/>
          <w:sz w:val="20"/>
        </w:rPr>
        <w:t>this consisted of discount income and interest income. However, upon emergence and on the Effective Date, we made an accounting policy election to recognize discount income as a component of 'Realized and unrealized losses, net of recoveries' on a prospective basis. Discount income represents the amortization of unearned discounts over the contractual life of the underlying finance receivables held for investment at fair value. We also made an accounting policy election to elect the fair value option on all finance receivables and classify them as held for investment. Discounts on the finance receivables held-for-sale were previously deferred until they were sold.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$6.0 million, or 11.8%, to $44.8 million for the three months ended September 30, 2025, from $50.8 million for the three months ended September 30, 2024. This decrease was primarily a result of the accounting policy change which resulted in lower discount income as well as lower finance receivable balance. The loan portfolio decreased to $817.7 million as of September 30, 2025, from $850.6 million as of September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primarily includes interest expense on UACC's Warehouse Credit Facilities and interest expense incurred on securitization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decreased $2.0 million, or 13.2%, to $13.3 million for the three months ended September 30, 2025 from $15.3 million for the three months ended September 30, 2024, primarily as a result of lower interest expense incurred on the Warehouse Credit Facilities, which decreased $1.8 million to $4.5 million for the three months ended September 30, 2025 from $6.3 million for the three months ended September 30, 2024. The decrease was also partially due to lower interest expense incurred on securitization debt, which decreased $0.3 million to $8.8 million for the three months ended September 30, 2025, from $9.1 million for the three months ended September 30, 2024. The decrease of interest expense incurred on the Warehouse Credit Facilities is attributable to a lower outstanding balance of $269.8 million as of September 30, 2025 as compared to $321.8 million as of September 30, 2024, due to repayments of the Warehouse Credit Facilities in connection with completion of the 2025-1 securitization, as well as a decrease in the weighted average interest rates, which decreased from 6.97% to 6.02% in the respective periods. The decrease of interest expense incurred on securitization debt is attributable to overall lower interest rates on the 2025-1 securitization debt.</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we made an accounting policy election to report discount income as a component of "Realized and unrealized losses, net of recoveries". We also made an accounting policy election to elect the fair value option for all finance receivables held for sale on a prospective basis. Realized and unrealized losses, net of recoveries, represents changes in the fair value of finance receivables for which the fair value option was selected, changes in the fair value of securitization debt , changes in the fair value of beneficial interests, as well as collection expenses related to servicing finance receivables. Prior to emergence from the Prepackaged Chapter 11 Case, realized and unrealized losses, net of recoveries also represented charge-offs of finance receivables held for sale and changes in the valuation allowance on the held for sale portfolio.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increased by $13.5 million or 44.6% to $43.6 million for the three months ended September 30, 2025, from $30.1 million for the three months ended September 30, 2024, primarily driven by an increase in the number and severity of delinquencies as well as lower recoveries of finance receivables, partially offset by the change in accounting policy related to discount income, which reduced the credit losses in the current period.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Servicing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primarily represents the annual fees earned as a percentage of the outstanding principal balance of the finance receivables sold that were accounted for as off-balance sheet securitizations. When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securitizations are accounted for as secured borrowings, the servicing income we receive is eliminated in consolidation. In addition, we also earn other income generated from servicing our finance receivables portfolio, including late and other fees.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$0.4 million or 27.2% to $1.1 million for the three months ended September 30, 2025 from $1.5 million for the three months ended September 30, 2024,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We estimate the revenue based on historical claims and cancellation data from its consumers, as well as other qualitative assumptions.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finance receivables on straight-line basis.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Warranties and GAP income, net increased by $0.8 million or 37.7% to $2.9 million for the three months ended September 30, 2025, as compared to $2.1 million for the three months ended September 30, 2024, primarily as a result of funding more contracts with warranty products, and charging higher fees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$0.2 million or 10.9% to $1.9 million for the three months ended September 30, 2025, from $1.7 million for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Compensation and benefits decreased $5.7 million or 29.0% to $14.1 million for the three months ended September 30, 2025, from $19.8 million for the three months ended September 30, 2024. The decrease was primarily a result of a decrease in variable compensation and an increase in internal software capitalization as we continue to invest in building our technology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by $0.1 million or 5.6% to $0.8 million for the three months ended September 30, 2025, from $0.9 million for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increased $0.2 million or 6.6% to $2.5 million for the three months ended September 30, 2025, from $2.3 million for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$4.6 million or 83.9% to $0.9 million for the three months ended September 30, 2025 from $5.5 million for the three months ended September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Impairment charges decreased $2.4 million for the three months ended September 30, 2025 as compared to the three months ended September 30, 2024, related to lease impairment charges incurred during the three months ended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September 30, 2024.</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$0.3 million or 12.8% to $1.7 million for the three months ended September 30, 2025, from $2.0 million for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increased $5.9 million or 29.8% to $25.8 million for the three months ended September 30, 2025, from $19.9 million for the three months ended September 30, 2024, primarily as a result of higher realized and unrealized losses, net of recoveries and a decrease in interest income, partially offset by lower compensation and benefits expense and depreciation and amortization expense,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6"/>
        <w:gridCol w:w="512"/>
        <w:gridCol w:w="1391"/>
        <w:gridCol w:w="166"/>
        <w:gridCol w:w="146"/>
        <w:gridCol w:w="146"/>
        <w:gridCol w:w="146"/>
        <w:gridCol w:w="146"/>
        <w:gridCol w:w="500"/>
        <w:gridCol w:w="1501"/>
        <w:gridCol w:w="166"/>
        <w:gridCol w:w="146"/>
        <w:gridCol w:w="211"/>
        <w:gridCol w:w="631"/>
        <w:gridCol w:w="166"/>
        <w:gridCol w:w="146"/>
        <w:gridCol w:w="183"/>
        <w:gridCol w:w="793"/>
        <w:gridCol w:w="443"/>
      </w:tblGrid>
      <w:tr>
        <w:trPr/>
        <w:tc>
          <w:tcPr>
            <w:tcW w:w="26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(123.5</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generates advertiser, publisher and other user service revenue by offering its AI-powered analytics and digital retailing services to dealers, automotive financial services companies and others in the automotive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$1.6 million or 53.4% to $1.3 million for the three months ended September 30, 2025, from $2.9 million for the three months ended September 30, 2024, primarily as a result of the loss of a major customer.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$1.7 million or (55.9)% to $1.4 million for the three months ended September 30, 2025, from $3.1 million for the three months ended September 30, 2024. The decrease was primarily a result of an increase in the allocation of CarStory resources to UACC.</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$1.5 million or 93.1% to $0.1 million for the three months ended September 30, 2025 from $1.6 million for the three months ended September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decreased $1.5 million or 95.6% to $0.1 million for the three months ended September 30, 2025 as compared to $1.6 million for the three months ended September 30, 2024 primarily due to lower compensation and benefit expense and lower depreciation and amortization expense, partially offset by a decrease in revenue,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6"/>
        <w:gridCol w:w="512"/>
        <w:gridCol w:w="1391"/>
        <w:gridCol w:w="166"/>
        <w:gridCol w:w="146"/>
        <w:gridCol w:w="146"/>
        <w:gridCol w:w="146"/>
        <w:gridCol w:w="146"/>
        <w:gridCol w:w="500"/>
        <w:gridCol w:w="1501"/>
        <w:gridCol w:w="166"/>
        <w:gridCol w:w="146"/>
        <w:gridCol w:w="211"/>
        <w:gridCol w:w="631"/>
        <w:gridCol w:w="166"/>
        <w:gridCol w:w="146"/>
        <w:gridCol w:w="183"/>
        <w:gridCol w:w="793"/>
        <w:gridCol w:w="443"/>
      </w:tblGrid>
      <w:tr>
        <w:trPr/>
        <w:tc>
          <w:tcPr>
            <w:tcW w:w="26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loss after losses and recoveries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103.9</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w:t>
            </w:r>
          </w:p>
        </w:tc>
        <w:tc>
          <w:tcPr>
            <w:tcW w:w="4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4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Corporate activities do not constitute a reportable segment. These activities include costs not directly attributable to the segments and are primarily related to costs associated with corporate and governance functions, including executive functions, finance and accounting,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have been renegotiated and right-sized to account for reduced headcount following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loss,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loss, net recorded within Corporate, relates to the runoff of policies sold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See “Note 3 — Revenue Recognition” to our condensed consolidated financial statements included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net decreased $1.5 million or (83.9)% to $0.3 million for the three months ended September 30, 2025, from $1.8 million for the three months ended September 30, 2024, primarily as a result of a revised estimate that was recorded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primarily represents interest earned on cash and cash equivalents. Other income increased $1.5 million or 284.3%, primarily driven by a release of aged accruals.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$1.6 million or 65.4% to $0.8 million for the three months ended September 30, 2025 from $2.4 million for the three months ended September 30, 2024, primarily as a result of lower expense due to the departure of certain key executives and retention bonuses granted to retain key employees paid out in the prior year period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remained flat for the three months ended September 30, 2025 as compared to the three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$0.4 million or 43.4% to $0.6 million for the three months ended September 30, 2025, from $1.0 million for the three months ended September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decreased $0.9 million or 95.4% for the three months ended September 30, 2025 as compared to the three months ended September 30, 2024, primarily related to the extinguishment of our 2026 Notes that were converted to equity as part of our Prepackaged Chapter 11 Case.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$0.9 million or 70.1% to $0.4 million for the three months ended September 30, 2025 from $1.3 million for the three months ended September 30, 2024, primarily related to a decrease in public-company related insurance costs as we renegotiated our insurance policies as a result of the reduced scale of the business.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Nine Months Ended September 30, 2025 and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9"/>
        <w:gridCol w:w="239"/>
        <w:gridCol w:w="884"/>
        <w:gridCol w:w="166"/>
        <w:gridCol w:w="146"/>
        <w:gridCol w:w="146"/>
        <w:gridCol w:w="146"/>
        <w:gridCol w:w="146"/>
        <w:gridCol w:w="291"/>
        <w:gridCol w:w="873"/>
        <w:gridCol w:w="166"/>
        <w:gridCol w:w="146"/>
        <w:gridCol w:w="218"/>
        <w:gridCol w:w="807"/>
        <w:gridCol w:w="166"/>
        <w:gridCol w:w="146"/>
        <w:gridCol w:w="228"/>
        <w:gridCol w:w="846"/>
        <w:gridCol w:w="166"/>
        <w:gridCol w:w="146"/>
        <w:gridCol w:w="211"/>
        <w:gridCol w:w="736"/>
        <w:gridCol w:w="166"/>
        <w:gridCol w:w="146"/>
        <w:gridCol w:w="177"/>
        <w:gridCol w:w="694"/>
        <w:gridCol w:w="424"/>
      </w:tblGrid>
      <w:tr>
        <w:trPr/>
        <w:tc>
          <w:tcPr>
            <w:tcW w:w="15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(62.0</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136.5</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(83.6</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(87.0</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$19.7 million, or 12.8%, to $135.0 million for the nine months ended September 30, 2025, from $154.7 million for the nine months ended September 30, 2024. This decrease was primarily a result of the accounting policy change which resulted in lower discount income as well as a decrease driven by a lower finance receivable balance. The loan portfolio decreased to $817.7 million as of September 30, 2025, from $850.6 million as of September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decreased $4.9 million, or 10.9%, to $39.8 million for the nine months ended September 30, 2025 from $44.7 million for the nine months ended September 30, 2024, primarily as a result of lower interest expense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incurred on the Warehouse Credit Facilities, which decreased $9.3 million to $13.4 million for the nine months ended September 30, 2025 from $22.7 million for the three months ended September 30, 2024. The decrease was offset by higher interest expense incurred on securitization debt, which increased $4.4 million to $26.4 million for the nine months ended September 30, 2025, from $22.0 million for the nine months ended September 30, 2024. The decrease of interest expense incurred on the Warehouse Credit Facilities is attributable to a lower outstanding balance of $269.8 million as of September 30, 2025 as compared to $321.8 million as of September 30, 2024, due to repayments of the Warehouse Credit Facilities in connection with completion of the 2025-1 securitization, as well as a decrease in the weighted average interest rates, which decreased from 6.97% to 6.02% in the respective periods. The increase of interest expense incurred on securitization debt is attributable to a higher outstanding balance of $458.9 million as of September 30, 2025, as compared to $410.0 million as of September 30, 2024.</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increased by $5.3 million or 6.9% to $82.8 million for the nine months ended September 30, 2025, from $77.5 million for the nine months ended September 30, 2024, primarily driven by an increase in the number and severity of delinquencies as well as lower recoveries of finance receivables, partially offset by discount income being recognized as a component of realized and unrealized losses, net of recoveries.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Servicing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$1.3 million or 25.6% to $3.8 million for the nine months ended September 30, 2025 from $5.1 million for the nine months ended September 30, 2024,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rFonts w:ascii="Arial" w:hAnsi="Arial"/>
          <w:color w:val="000000"/>
          <w:sz w:val="20"/>
        </w:rPr>
      </w:pPr>
      <w:r>
        <w:rPr>
          <w:rFonts w:ascii="Arial" w:hAnsi="Arial"/>
          <w:color w:val="000000"/>
          <w:sz w:val="20"/>
        </w:rPr>
        <w:t>Warranties and GAP income, net increased by $5.2 million or 97.0% to $10.5 million for the nine months ended September 30, 2025, from $5.3 million for the nine months ended September 30, 2024 primarily as a result of lower cancellation and claim losses, along with funding more contracts with GAP and warranty products and charging higher fees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$0.1 million or 1.7% to $6.2 million for the nine months ended September 30, 2025, from $6.3 million for the nine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$11.5 million or 19.5% to $47.6 million for the nine months ended September 30, 2025, from $59.1 million for the nine months ended September 30, 2024. The decrease was primarily a result of lower salary expense as a result of fewer employees as we continue right-sizing our workforce, a decrease in variable compensation, lower severance expense related to the termination of certain employees in the prior year period, and an increase in internal software capitalization as we continue to invest in building our technology assets.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increased by $3.2 million or 136.5% to $5.5 million for the nine months ended September 30, 2025, from $2.3 million for the nine months ended September 30, 2024, primarily as a result of an increase in legal and audit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$0.4 million or 5.0% to $7.6 million for the nine months ended September 30, 2025, from $8.0 million for the nine months ended September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$14.4 million or 83.6% to $2.8 million for the nine months ended September 30, 2025 from $17.2 million for the nine months ended September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decreased $1.7 million or 32.6% to $3.5 million related to lease impairment charges incurred during the nine months ended September 30, 2025, as compared to $5.2 million related to impairment of capitalized internal-use software that no longer has a planned future use of $2.7 million as well as lease impairment charges of $2.4 million incurred during the nine months ended September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$1.8 million or 23.1% to $5.8 million for the nine months ended September 30, 2025, from $7.6 million for the nine months ended September 30, 2024, primarily as a result of changing the existing dealer incentives program and recording a loss on the repurchase of the non-investment grade securities related to the 2022-2 securitization transaction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decreased $8.9 million or 19.8% to $35.8 million for the nine months ended September 30, 2025, from $44.7 million for the nine months ended September 30, 2024, primarily due to lower compensation and benefit expense and lower depreciation and amortization expense, partially offset by higher realized and unrealized losses, net of recoveries and a decrease in interest income,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2"/>
        <w:gridCol w:w="299"/>
        <w:gridCol w:w="809"/>
        <w:gridCol w:w="166"/>
        <w:gridCol w:w="146"/>
        <w:gridCol w:w="146"/>
        <w:gridCol w:w="146"/>
        <w:gridCol w:w="146"/>
        <w:gridCol w:w="372"/>
        <w:gridCol w:w="851"/>
        <w:gridCol w:w="166"/>
        <w:gridCol w:w="146"/>
        <w:gridCol w:w="279"/>
        <w:gridCol w:w="680"/>
        <w:gridCol w:w="166"/>
        <w:gridCol w:w="146"/>
        <w:gridCol w:w="258"/>
        <w:gridCol w:w="828"/>
        <w:gridCol w:w="166"/>
        <w:gridCol w:w="146"/>
        <w:gridCol w:w="218"/>
        <w:gridCol w:w="653"/>
        <w:gridCol w:w="166"/>
        <w:gridCol w:w="146"/>
        <w:gridCol w:w="163"/>
        <w:gridCol w:w="708"/>
        <w:gridCol w:w="427"/>
      </w:tblGrid>
      <w:tr>
        <w:trPr/>
        <w:tc>
          <w:tcPr>
            <w:tcW w:w="166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(280.0</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w:t>
            </w:r>
          </w:p>
        </w:tc>
        <w:tc>
          <w:tcPr>
            <w:tcW w:w="4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120.4</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$2.8 million or 31.5% to $6.0 million for the nine months ended September 30, 2025, from $8.8 million for the nine months ended September 30, 2024 primarily as a result of a change in the scope of service and data provided to our customers, and the loss of a major customer.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$3.2 million or 40.5% to $4.6 million for the nine months ended September 30, 2025, from $7.8 million for the nine months ended September 30, 2024. The decrease was primarily a result of an increase in the allocation of CarStory resources to UACC.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$4.2 million or 88.3% to $0.6 million for the nine months ended September 30, 2025 from $4.8 million for the nine months ended September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income (loss) increased $4.3 million or 120.4% to income of $0.7 million for the nine months ended September 30, 2025 as compared to a loss of $3.6 million for the nine months ended September 30, 2024 primarily due to lower compensation and benefit expense and lower depreciation and amortization expense, partially offset by a decrease in revenue,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4"/>
        <w:gridCol w:w="256"/>
        <w:gridCol w:w="823"/>
        <w:gridCol w:w="166"/>
        <w:gridCol w:w="146"/>
        <w:gridCol w:w="146"/>
        <w:gridCol w:w="146"/>
        <w:gridCol w:w="146"/>
        <w:gridCol w:w="365"/>
        <w:gridCol w:w="835"/>
        <w:gridCol w:w="166"/>
        <w:gridCol w:w="146"/>
        <w:gridCol w:w="236"/>
        <w:gridCol w:w="715"/>
        <w:gridCol w:w="166"/>
        <w:gridCol w:w="146"/>
        <w:gridCol w:w="240"/>
        <w:gridCol w:w="841"/>
        <w:gridCol w:w="166"/>
        <w:gridCol w:w="146"/>
        <w:gridCol w:w="211"/>
        <w:gridCol w:w="736"/>
        <w:gridCol w:w="166"/>
        <w:gridCol w:w="146"/>
        <w:gridCol w:w="163"/>
        <w:gridCol w:w="708"/>
        <w:gridCol w:w="424"/>
      </w:tblGrid>
      <w:tr>
        <w:trPr/>
        <w:tc>
          <w:tcPr>
            <w:tcW w:w="16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(120.9</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117.5</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107.2</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136.4</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expense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Warranties and GAP income (loss),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(loss), net increased $10.4 million or 107.2% to income of $0.7 million for the nine months ended September 30, 2025, from a loss of $9.7 million for the nine months ended September 30, 2024, primarily as a result of a revised estimate of proceeds we expect to recover as a result of the Ecommerce Wind-Down that was recorded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$0.8 million or 50.2% to $2.3 million for the nine months ended September 30, 2025, from $1.5 million for the nine months ended September 30, 2024, primarily driven by a release of aged accruals.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$5.7 million or (58.6)% to $4.0 million for the nine months ended September 30, 2025 from $9.7 million for the nine months ended September 30, 2024, primarily as a result of lower expense due to the departure of certain key executives and retention bonuses granted to retain key employees paid out in the prior year period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$2.1 million or 54.9% to $1.7 million for the nine months ended September 30, 2025, from $3.8 million for the nine months ended September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decreased $2.7 million or 95.2% to $0.1 million for the nine months ended September 30, 2025, from $2.8 million for the nine months ended September 30, 2024, due to the extinguishment of our 2026 Notes that were converted to equity as part of our Prepackaged Chapter 11 Case.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$3.4 million or 68.1% to $1.6 million for the nine months ended September 30, 2025 from $5.0 million for the nine months ended September 30, 2024, primarily related to a decrease in public-company related insurance costs as we renegotiated our insurance policies as a result of the reduced scale of the business.</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we emerged from the Prepackaged Chapter 11 Case, as discussed above under "Recent Events". On the Effective Date, each holder of the 2026 Notes received a pro rata share of 92.94% of the New Common Stock (subject to dilution) and all of the Company’s outstanding obligations under the 2026 Notes and the Indenture were deemed fully satisfied and discharged. As of the Effective Date, Vroom, Inc. no longer had long-term debt, but UACC has debt in connection with its securitizations, Warehouse Credit Facilities, risk retention financing facility for its beneficial interests in securitizations and its trust preferred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we had cash and cash equivalents of $12.4 million and restricted cash of $55.0 million. Restricted cash primarily includes restricted cash required under UACC's securitization transactions and Warehouse Credit Facilities of $54.3 million. Additionally, we had excess borrowing capacity of $11.8 million under UACC's Warehouse Credit Facilities as of September 30, 2025 and $35.0 million available under our Delayed Draw Facility (as defined below). We have historically had negative cash flows and generated losses from operations and our primary source of liquidity has been cash generated through financing activities.</w:t>
      </w:r>
    </w:p>
    <w:p>
      <w:pPr>
        <w:pStyle w:val="TextBody"/>
        <w:bidi w:val="0"/>
        <w:jc w:val="left"/>
        <w:rPr>
          <w:rFonts w:ascii="Times New Roman" w:hAnsi="Times New Roman"/>
          <w:sz w:val="20"/>
        </w:rPr>
      </w:pPr>
      <w:r>
        <w:rPr>
          <w:rFonts w:ascii="Arial" w:hAnsi="Arial"/>
          <w:color w:val="000000"/>
          <w:sz w:val="20"/>
        </w:rPr>
        <w:t>UACC relies on borrowings under the Warehouse Credit Facilities to finance the origination of finance receivables as well as to provide funding for general operating activities. The terms of those facilities generally mature within one to two years and we typically renew those facilities in the ordinary course. In March 2025, we renewed two of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Warehouse Credit Facilities, Facility Two and Facility Four, with an aggregate borrowing capacity of $400 million, now expiring in June 2026 and April 2027, respectively. Warehouse Credit Facility One, which had a borrowing capacity of $200.0 million, expired on July 21, 2025, pursuant to its terms, and we elected not to renew this commitment on the basis that borrowing capacity from our other Warehouse Credit Facilities is sufficient to support our current operational needs. Following the expiration of Warehouse Credit Facility One, UACC now has three senior secured Warehouse Credit Facilities. We renewed Warehouse Credit Facility Three in August 2025, with a borrowing capacity of $200 million, now expiring in August 2026. Refer to Note 10 — Warehouse Credit Facilities and Consolidated VIEs to the Condensed Consolidated Financial Statements included elsewhere in this Quarterly Report on Form 10-Q. Failure to retain sufficient warehouse borrowing capacity would have a material adverse effect on our ability to finance UACC’s lending operations and our results of operations and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On October 9, 2025 the maximum facility amount was amended from $25.0 million to $35.0 million effective as of September 30, 2025. The 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September 30, 2025, we had not drawn against the Delayed Draw Facility. Subsequently, during the fourth quarter of 2025, we drew $5.0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August 29, 2025, we issued $10.0 million aggregate principal amount of 2030 Notes to support our long-term business strategy. The 2030 notes were issued pursuant to a Note Purchase Agreement with Annox Capital, LLC and Robert J. Mylod, Jr., the Managing Partner of Annox Capital, LLC and the Independent Executive Chair of the board of directors of the Company. Refer to Note 11 — Long Term Debt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our emergence from bankruptcy on January 14, 2025, we continue to operate as a viable going concern. 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rFonts w:ascii="Arial" w:hAnsi="Arial"/>
          <w:color w:val="000000"/>
          <w:sz w:val="20"/>
        </w:rPr>
      </w:pPr>
      <w:r>
        <w:rPr>
          <w:rFonts w:ascii="Arial" w:hAnsi="Arial"/>
          <w:color w:val="000000"/>
          <w:sz w:val="20"/>
        </w:rPr>
        <w:t>Our future capital requirements will depend on many factors, including our ability to realize the intended benefits of the Prepackaged Chapter 11 Case and our Long-Term Strategic Plan, available advance rates on the Warehouse Credit Facilities, our ability to complete additional securitization transactions on favorable terms, and future credit losses. We anticipate that our existing cash and cash equivalents, our credit agreement with Mudrick Capital Management L.P., and UACC's Warehouse Credit Facilities will be sufficient to support our ongoing operations and obligations for at least the next twelve months from the issuance date of this Quarterly Report on Form 10-Q.</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Subject to market conditions, we plan to sell finance receivables originated by UACC through asset-backed securitization transactions. During the first quarter of 2025, UACC completed the 2025-1 securitization transaction, in which it issued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UACC retained the residual interests, which required us to account for the 2025-1 securitization as secured borrowings and the assets and liabilities of the trust remain on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As of September 30, 2025, UACC pledged $29.9 million of its retained beneficial interests as collateral, and the outstanding borrowings related to this risk retention financing facility were $23.1 million with expected repurchase dates ranging from June 2027 to October 2031. The securitization trusts will distribute payments related to UACC's pledged beneficial interests in securitizations directly to the lenders, which will reduce the beneficial interests in securitizations and the related debt balance</w:t>
      </w:r>
      <w:r>
        <w:rPr>
          <w:rFonts w:ascii="sans-serif" w:hAnsi="sans-serif"/>
          <w:color w:val="000000"/>
          <w:sz w:val="22"/>
        </w:rPr>
        <w: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September 30, 2025, UACC has three senior secured Warehouse Credit Facilities with banking institutions. The Warehouse Credit Facilities are collateralized by eligible finance receivables and available borrowings are computed based on a percentage of eligible finance receivables.</w:t>
      </w:r>
    </w:p>
    <w:p>
      <w:pPr>
        <w:pStyle w:val="TextBody"/>
        <w:bidi w:val="0"/>
        <w:jc w:val="left"/>
        <w:rPr>
          <w:rFonts w:ascii="Arial" w:hAnsi="Arial"/>
          <w:color w:val="000000"/>
          <w:sz w:val="20"/>
        </w:rPr>
      </w:pPr>
      <w:r>
        <w:rPr>
          <w:rFonts w:ascii="Arial" w:hAnsi="Arial"/>
          <w:color w:val="000000"/>
          <w:sz w:val="20"/>
        </w:rPr>
        <w:t>In March 2025, we renewed Facility Two, now expiring in June 2026. The aggregate borrowing limit and significant terms of the agreement remained unchanged except for an increase in the minimum liquidity covenant. In March 2025, we also renewed Facility Four, now expiring in April 2027. The aggregate borrowing limit under this facility decreased from $225.0 million to $200.0 million and all other significant terms of the agreement remained unchanged. Warehouse Credit Facility One, which had a borrowing capacity of $200.0 million, expired on July 21, 2025, pursuant to its terms, and we elected not to renew this commitment on the basis that borrowing capacity from our other Warehouse Credit Facilities is sufficient to support our current operational needs. Following the expiration of Warehouse Credit Facility One, UACC now has three senior secured Warehouse Credit Facilities. We renewed Warehouse Credit Facility Three in August 2025, now expiring August 2026. The amendment reduced the advance rate and increased tangible net worth and minimum liquidity requirements, the borrowing limit and all other significant terms of the agreement remained unchanged.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aggregate borrowing limit under the Warehouse Credit Facilities as of September 30, 2025 was $600.0 million. Our ability to utilize the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and specified leverage ratios. Failure to satisfy these and or any other requirements contained within the agreements would restrict access to or cause us to be in default of the terms of the Warehouse Credit Facilities and could have a material adverse effect on our financial condition, results of operations and liquidity. Certain breaches of covenants or events of default may also result in acceleration of the repayment of borrowings prior to the scheduled maturity. As of September 30, 2025, outstanding borrowings related to the Warehouse Credit Facilities were $269.8 million and we were in compliance with all covenants under the terms of the Warehouse Credit Facilities. Refer to Note 10 — Warehouse Credit Facilities of Consolidated VIEs to our condensed consolidated financial statements included elsewhere in this Quarterly Report on Form 10-Q, for further discussion.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Cash Flows from Operating, Investing, and Financing Activities</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summarizes our cash flows for the nine months ended September 30, 2025 and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5"/>
        <w:gridCol w:w="146"/>
        <w:gridCol w:w="211"/>
        <w:gridCol w:w="260"/>
        <w:gridCol w:w="1357"/>
        <w:gridCol w:w="166"/>
        <w:gridCol w:w="146"/>
        <w:gridCol w:w="146"/>
        <w:gridCol w:w="211"/>
        <w:gridCol w:w="264"/>
        <w:gridCol w:w="1372"/>
        <w:gridCol w:w="166"/>
        <w:gridCol w:w="211"/>
        <w:gridCol w:w="190"/>
        <w:gridCol w:w="986"/>
        <w:gridCol w:w="166"/>
        <w:gridCol w:w="211"/>
        <w:gridCol w:w="176"/>
        <w:gridCol w:w="1039"/>
        <w:gridCol w:w="216"/>
      </w:tblGrid>
      <w:tr>
        <w:trPr/>
        <w:tc>
          <w:tcPr>
            <w:tcW w:w="2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br/>
              <w:t>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(154,154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operating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(110,658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98,161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(used in) operating activities from continuing operations increased by $204.8 million, from $(154.2) million net cash utilized in operating activities for the nine months ended September 30, 2024 to $50.6 million net cash provided by operating activities for the nine months ended September 30, 2025. The reduction of cash used in operating activities was primarily due to a $308.6 million decrease in originations of finance receivables held for sale. As a result of emerging from the Prepackaged Chapter 11 Case and applying fresh start accounting, our finance receivables are originated and accounted for as held for investment at fair value and are classified as investing activities prospectively. The increase in net cash flows provided by operating activities was also due to a $29.8 million improvement in net income (loss) from continuing operations after reconciling adjustments, offset by an decrease in principal payments received on finance receivables held for sale of $127.4 million.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(used in) provided by investing activities from continuing operations decreased by $173.9 million, from $92.1 million net cash provided by investing activities for the nine months ended September 30, 2024 to $(81.8) million net cash utilized in investing activities for the nine months ended September 30, 2025. The decrease in cash provided by investing activities was primarily due to a $319.7 million increase in originations of finance receivables held for investment, offset by a $150.0 million increase in principal payments received on finance receivables at fair value as compared to the nine months ended September 30, 2024. As a result of emerging from the Prepackaged Chapter 11 Case and applying fresh start accounting, our finance receivables are originated and accounted for as held for investment at fair value and are classified as investing activities prospectively.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financing activities from continuing operations increased by $14.9 million, from $7.5 million for the nine months ended September 30, 2024, to $22.4 million for the nine months ended September 30, 2025. The increase was primarily related to the $10.0 million received in connection with the issuance of the related party note during the nine months ended September 30, 2025 , and a $9.3 million increase in net cash flows from the borrowings under our Warehouse Credit Facilities, offset by a $1.9 million decrease in net cash flows related to higher repayments of secured financing agreements, as compared to the nine months ended September 30, 2024.</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Except as described below, there have been no material changes to our critical accounting policies and estimates as compared to the critical accounting policies and estimates disclosed in our Annual Report on Form 10-K for the year ended December 31,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Bankruptcy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applied FASB Codification Topic 852, Reorganizations ("ASC 852") in preparing the consolidated financial statements starting on the Prepackaged Chapter 11 Case petition date. ASC 852 requires the financial statements, for the periods subsequent to the petition date and up to and including the Effective Date, which includes the period of emergence from Chapter 11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Consolidated Statements of Operations and Comprehensive Loss.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connection with our emergence from the Prepackaged Chapter 11 Case and in accordance with ASC Topic 852, we qualified for and adopted fresh start accounting on the Effective Date. We were required to adopt fresh start accounting because (i) the holders of existing voting shares of the Predecessor received less than 50% of the voting shares of the Successor Company, and (ii) the reorganization value of our assets immediately prior to confirmation of the Plan was less than the post-petition liabilities and allowed claims. In accordance with ASC Topic 852, with the application of fresh start accounting, we allocated the reorganization value to our individual assets and liabilities (except for deferred income taxes) based on their estimated fair values in conformity with ASC Topic 805, Business Combinations. The amount of deferred taxes was determined in accordance with ASC Topic 740, Income Taxes. The Effective Date fair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values of our assets and liabilities differed materially from their recorded values as reflected on the historical balance sheets. Refer to Note 6 –</w:t>
      </w:r>
      <w:r>
        <w:rPr>
          <w:rFonts w:ascii="Times New Roman" w:hAnsi="Times New Roman"/>
          <w:color w:val="000000"/>
          <w:sz w:val="20"/>
        </w:rPr>
        <w:t xml:space="preserve"> </w:t>
      </w:r>
      <w:r>
        <w:rPr>
          <w:rFonts w:ascii="Arial" w:hAnsi="Arial"/>
          <w:color w:val="000000"/>
          <w:sz w:val="20"/>
        </w:rPr>
        <w:t>Fresh Start Accounting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results of our analysis indicated that the principal assets requiring fair value adjustments on the Effective Date included finance receivables held for sale, identified intangible assets and leased assets. The finance receivables held for sale include both finance receivables that are held in a collateralized financing entity ("CFE") and those that are not held in a CFE.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Fresh Start Accounting</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Finance Receivables at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we made an accounting policy election to elect the fair value option for all finance receivables held for sale, net. The finance receivables held for sale, net were reclassified to finance receivables at fair value. The valuation of finance receivables at fair value, for which we elected the fair value option in accordance with ASC 825 but are not related to consolidated CFEs, is derived from a model that estimates the present value of future cash flows. We estimate the present value of these future cash flows using a valuation model consisting of developed estimates that rely on unobservable assumptions third-party market participants would use in determining fair value, including prepayment speed, default rate, recovery rate, as well as certain macroeconomics events we believe market participants would consider relevant.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pStyle w:val="TextBody"/>
        <w:bidi w:val="0"/>
        <w:jc w:val="left"/>
        <w:rPr>
          <w:rFonts w:ascii="Arial" w:hAnsi="Arial"/>
          <w:color w:val="000000"/>
          <w:sz w:val="20"/>
        </w:rPr>
      </w:pPr>
      <w:r>
        <w:rPr>
          <w:rFonts w:ascii="Arial" w:hAnsi="Arial"/>
          <w:color w:val="000000"/>
          <w:sz w:val="20"/>
        </w:rPr>
        <w:t>The estimates for the aforementioned assumptions significantly affect the reported amount (and changes thereon) of our finance receivables at fair value on our consolidated balance sheets and consolidated statements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Financial assets and liabilities of CFEs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and application of fresh start accounting, we made an accounting policy election to apply the measurement alternative to the 2024-1 consolidated CFE.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are required to determine whether the fair value of the financial assets or the fair value of the financial liabilities of the 2024-1 CFE are more observable, but in either case, the methodology results in the fair value of the financial assets of the securitization trust being equal to the fair value of their liabilities. We determined that the fair value of the liabilities of the 2024-1 securitization CFE are more observable, since market prices of their liabilities are based on non-binding quoted prices provided by broker dealers who make markets in similar financial instruments. The assets of the 2024-1 securitization CFE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2024-1 securitization debt,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we obtain prices from multiple broker dealers for the same security and have a consensus among them, we deem these fair values to be based on observable valuation inputs and classified as Level 2 of the fair value hierarchy. Where a third-party broker dealer quote is not available, an internal model is utilized using unobservable inputs or if we have multiple quotes that are not within determined range, we classify the securitization debt as Level 3 of the fair value hierarchy.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financial assets of the 2024-1 consolidated CFE are an aggregate value derived from the fair value of the CFEs liabilities. We determined that finance receivables, in the 2024-1 CFE, in their entirety should be classified as Level 3 of the fair value hierarchy.</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Intangible Assets</w:t>
      </w:r>
    </w:p>
    <w:p>
      <w:pPr>
        <w:pStyle w:val="TextBody"/>
        <w:bidi w:val="0"/>
        <w:jc w:val="left"/>
        <w:rPr>
          <w:rFonts w:ascii="Times New Roman" w:hAnsi="Times New Roman"/>
          <w:sz w:val="20"/>
        </w:rPr>
      </w:pPr>
      <w:r>
        <w:rPr>
          <w:rFonts w:ascii="Arial" w:hAnsi="Arial"/>
          <w:color w:val="000000"/>
          <w:sz w:val="20"/>
        </w:rPr>
        <w:t>The identified intangible assets of $14.2 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margins, attrition rates, revenue growth rates, and economic lives. Such fair value measurement of intangible assets is considered Level 3 of the fair value hierarchy.</w:t>
      </w:r>
    </w:p>
    <w:p>
      <w:pPr>
        <w:pStyle w:val="TextBody"/>
        <w:bidi w:val="0"/>
        <w:jc w:val="left"/>
        <w:rPr>
          <w:rFonts w:ascii="Times New Roman" w:hAnsi="Times New Roman"/>
          <w:sz w:val="20"/>
        </w:rPr>
      </w:pPr>
      <w:r>
        <w:rPr>
          <w:rFonts w:ascii="Arial" w:hAnsi="Arial"/>
          <w:color w:val="000000"/>
          <w:sz w:val="20"/>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 related intangible assets that were valued using the multi-period excess earnings method, the attrition rate was estimated to be 10% and the discount rate 25%.</w:t>
      </w:r>
      <w:r>
        <w:rPr>
          <w:rFonts w:ascii="Times New Roman" w:hAnsi="Times New Roman"/>
          <w:color w:val="000000"/>
          <w:sz w:val="20"/>
        </w:rPr>
        <w:t xml:space="preserve"> </w:t>
      </w:r>
    </w:p>
    <w:p>
      <w:pPr>
        <w:pStyle w:val="TextBody"/>
        <w:bidi w:val="0"/>
        <w:jc w:val="left"/>
        <w:rPr>
          <w:rFonts w:ascii="Arial" w:hAnsi="Arial"/>
          <w:i/>
          <w:color w:val="000000"/>
          <w:sz w:val="20"/>
        </w:rPr>
      </w:pPr>
      <w:r>
        <w:rPr>
          <w:rFonts w:ascii="Arial" w:hAnsi="Arial"/>
          <w:i/>
          <w:color w:val="000000"/>
          <w:sz w:val="20"/>
        </w:rPr>
        <w:t>Lease Liabilities and Right of Use Assets</w:t>
      </w:r>
    </w:p>
    <w:p>
      <w:pPr>
        <w:pStyle w:val="TextBody"/>
        <w:bidi w:val="0"/>
        <w:jc w:val="left"/>
        <w:rPr>
          <w:rFonts w:ascii="Arial" w:hAnsi="Arial"/>
          <w:color w:val="000000"/>
          <w:sz w:val="20"/>
        </w:rPr>
      </w:pPr>
      <w:r>
        <w:rPr>
          <w:rFonts w:ascii="Arial" w:hAnsi="Arial"/>
          <w:color w:val="000000"/>
          <w:sz w:val="20"/>
        </w:rPr>
        <w:t>The present value of lease liabilities was measured as the present value of the remaining lease payments, as if the leases were new leases as of the Effective Date. We used our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Recently Issued and Adopted Accounting Pronouncements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Refer to “Note 2 — 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left"/>
        <w:rPr>
          <w:rFonts w:ascii="Times New Roman" w:hAnsi="Times New Roman"/>
          <w:sz w:val="20"/>
        </w:rPr>
      </w:pPr>
      <w:bookmarkStart w:id="11" w:name="qualitative_quantitative_disclosure"/>
      <w:bookmarkEnd w:id="11"/>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a smaller reporting company as defined in Rule 12b-2 of the Exchange Act and are not required to provide the information otherwise required under this Item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September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that evaluation, our Principal Executive Officer and Principal Financial Officer have concluded that, as of September 30, 2025,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that occurred during the quarterly period ended September 30, 2025,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we are subject to legal proceedings in the normal course of operating our business and an unfavorable resolution of any of these matters could materially affect the Company's future results of operations, cash flows or financial position. The outcome of litigation, regardless of the merits, is inherently uncertain.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On November 13, 2024, we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w:t>
      </w:r>
      <w:r>
        <w:rPr>
          <w:rFonts w:ascii="Arial" w:hAnsi="Arial"/>
          <w:i/>
          <w:color w:val="000000"/>
          <w:sz w:val="20"/>
        </w:rPr>
        <w:t>In re Vroom, Inc.</w:t>
      </w:r>
      <w:r>
        <w:rPr>
          <w:rFonts w:ascii="Arial" w:hAnsi="Arial"/>
          <w:color w:val="000000"/>
          <w:sz w:val="20"/>
        </w:rPr>
        <w:t>, Case No. 24-90571 (CML).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8, 2025, the Bankruptcy Court entered an order (a) approving our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we emerged from the Prepackaged Chapter 11 Case.</w:t>
      </w:r>
    </w:p>
    <w:p>
      <w:pPr>
        <w:pStyle w:val="TextBody"/>
        <w:bidi w:val="0"/>
        <w:jc w:val="left"/>
        <w:rPr>
          <w:rFonts w:ascii="Arial" w:hAnsi="Arial"/>
          <w:color w:val="000000"/>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 As of September 1, 2025, the Company completed its payment obligations under the agreement.</w:t>
      </w:r>
    </w:p>
    <w:p>
      <w:pPr>
        <w:pStyle w:val="TextBody"/>
        <w:bidi w:val="0"/>
        <w:jc w:val="left"/>
        <w:rPr>
          <w:rFonts w:ascii="Times New Roman" w:hAnsi="Times New Roman"/>
          <w:sz w:val="20"/>
        </w:rPr>
      </w:pPr>
      <w:r>
        <w:rPr>
          <w:rFonts w:ascii="Arial" w:hAnsi="Arial"/>
          <w:color w:val="000000"/>
          <w:sz w:val="20"/>
        </w:rPr>
        <w:t>As previously disclosed, we have been subject to audits, requests for information, investigations and other inquiries from our regulators.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rFonts w:ascii="Times New Roman" w:hAnsi="Times New Roman"/>
          <w:sz w:val="20"/>
        </w:rPr>
      </w:pPr>
      <w:r>
        <w:rPr>
          <w:rFonts w:ascii="Arial" w:hAnsi="Arial"/>
          <w:color w:val="000000"/>
          <w:sz w:val="20"/>
        </w:rPr>
        <w:t>Our operations and financial results are subject to various risks and uncertainties including those disclosed under “Item 1A. Risk Factors” in our Annual Report on Form 10-K for the year ended December 31, 2024. There have been no material changes to our risk factors described in our Annual Report</w:t>
      </w:r>
      <w:r>
        <w:rPr>
          <w:rFonts w:ascii="Arial" w:hAnsi="Arial"/>
          <w:color w:val="0563C1"/>
          <w:sz w:val="20"/>
        </w:rPr>
        <w:t xml:space="preserve">. </w:t>
      </w:r>
      <w:r>
        <w:rPr>
          <w:rFonts w:ascii="Arial" w:hAnsi="Arial"/>
          <w:color w:val="000000"/>
          <w:sz w:val="20"/>
        </w:rPr>
        <w:t>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b/>
          <w:color w:val="000000"/>
          <w:sz w:val="20"/>
        </w:rPr>
      </w:pPr>
      <w:bookmarkStart w:id="16" w:name="unregistered_sales_of_equity_securities"/>
      <w:bookmarkEnd w:id="16"/>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than already disclosed on a Current Report on Form 8-K filed with the Securities and Exchange Commission on August 29, 2025, none.</w:t>
      </w:r>
    </w:p>
    <w:p>
      <w:pPr>
        <w:pStyle w:val="TextBody"/>
        <w:bidi w:val="0"/>
        <w:jc w:val="left"/>
        <w:rPr/>
      </w:pPr>
      <w:r>
        <w:rPr/>
        <w:t> </w:t>
      </w:r>
    </w:p>
    <w:p>
      <w:pPr>
        <w:pStyle w:val="TextBody"/>
        <w:bidi w:val="0"/>
        <w:jc w:val="left"/>
        <w:rPr>
          <w:rFonts w:ascii="Arial" w:hAnsi="Arial"/>
          <w:b/>
          <w:color w:val="000000"/>
          <w:sz w:val="20"/>
        </w:rPr>
      </w:pPr>
      <w:bookmarkStart w:id="17" w:name="defaults_senior_securities"/>
      <w:bookmarkEnd w:id="17"/>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bookmarkStart w:id="18" w:name="mine_safety"/>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 Disclosure in lieu of reporting on a Current Report on Form 8-K.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(b) Material changes to the procedures by which security holders may recommend nominees to the board of directors</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 Insider Trading Arrangements and Policies</w:t>
      </w:r>
    </w:p>
    <w:p>
      <w:pPr>
        <w:pStyle w:val="TextBody"/>
        <w:bidi w:val="0"/>
        <w:jc w:val="left"/>
        <w:rPr>
          <w:rFonts w:ascii="Times New Roman" w:hAnsi="Times New Roman"/>
          <w:sz w:val="20"/>
        </w:rPr>
      </w:pPr>
      <w:r>
        <w:rPr>
          <w:rFonts w:ascii="Arial" w:hAnsi="Arial"/>
          <w:color w:val="000000"/>
          <w:sz w:val="20"/>
        </w:rPr>
        <w:t>During the three months ended September 30, 2025,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Arial" w:hAnsi="Arial"/>
          <w:b/>
          <w:color w:val="000000"/>
          <w:sz w:val="20"/>
        </w:rPr>
      </w:pPr>
      <w:bookmarkStart w:id="20" w:name="exhibits_and_financial_statement_schedul"/>
      <w:bookmarkEnd w:id="20"/>
      <w:r>
        <w:rPr>
          <w:rFonts w:ascii="Arial" w:hAnsi="Arial"/>
          <w:b/>
          <w:color w:val="000000"/>
          <w:sz w:val="20"/>
        </w:rPr>
        <w:t>Item 6. Exhibits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857"/>
        <w:gridCol w:w="146"/>
        <w:gridCol w:w="536"/>
        <w:gridCol w:w="146"/>
        <w:gridCol w:w="786"/>
        <w:gridCol w:w="146"/>
        <w:gridCol w:w="661"/>
        <w:gridCol w:w="146"/>
        <w:gridCol w:w="905"/>
        <w:gridCol w:w="146"/>
        <w:gridCol w:w="869"/>
        <w:gridCol w:w="964"/>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Prepackaged Plan of Reorganization for Vroom, Inc. Under Chapter 11 of the Bankruptcy Code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Restated Certificate of Incorporation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Change of Registered Agent and/or Registered Office.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Amended and Restated Bylaws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15, 2025</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18, 2020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1.htm">
              <w:r>
                <w:rPr>
                  <w:rStyle w:val="InternetLink"/>
                  <w:rFonts w:ascii="Arial" w:hAnsi="Arial"/>
                  <w:color w:val="0000FF"/>
                  <w:sz w:val="20"/>
                  <w:u w:val="single"/>
                </w:rPr>
                <w:t>Amended and Restated Warehouse Agreement, dated as of July 11, 2019, by and among</w:t>
              </w:r>
            </w:hyperlink>
            <w:hyperlink w:anchor="vrm-ex10_1.htm">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5915"/>
        <w:gridCol w:w="146"/>
        <w:gridCol w:w="292"/>
        <w:gridCol w:w="146"/>
        <w:gridCol w:w="691"/>
        <w:gridCol w:w="146"/>
        <w:gridCol w:w="481"/>
        <w:gridCol w:w="146"/>
        <w:gridCol w:w="925"/>
        <w:gridCol w:w="146"/>
        <w:gridCol w:w="241"/>
        <w:gridCol w:w="288"/>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sz w:val="20"/>
              </w:rPr>
              <w:t>UACC Auto Financing Trust V, as borrower, United Auto Credit Corporation, as servicer and custodian, a backup servicer and account bank, the lender parties thereto, and an administrative agent, as amended on August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2.htm">
              <w:r>
                <w:rPr>
                  <w:rStyle w:val="InternetLink"/>
                  <w:rFonts w:ascii="Arial" w:hAnsi="Arial"/>
                  <w:color w:val="0000FF"/>
                  <w:sz w:val="20"/>
                  <w:u w:val="single"/>
                </w:rPr>
                <w:t>Amendment to Amended and Restated Warehouse Agreement, dated as of July 11, 2019, by and among UACC Auto Financing Trust V, as borrower, United Auto Credit Corporation, as servicer and custodian, a backup servicer and account bank, the lender parties thereto, and an administrative agent, as amended on October 9,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Note Purchase Agreement, dated August 29, 2025, by and among the Company and the Purchasers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001-39315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August 29,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Amendment No. 1 to the Loan and Security Agreement by and among Vroom, Inc. Darkwater Funding, LLC, United Auto Credit Corporation, Mudrick Capital Management, L.P., and the lender parties hereto, dated October 9,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9399" w:type="dxa"/>
        <w:jc w:val="left"/>
        <w:tblInd w:w="0" w:type="dxa"/>
        <w:tblLayout w:type="fixed"/>
        <w:tblCellMar>
          <w:top w:w="28" w:type="dxa"/>
          <w:left w:w="28" w:type="dxa"/>
          <w:bottom w:w="28" w:type="dxa"/>
          <w:right w:w="28" w:type="dxa"/>
        </w:tblCellMar>
      </w:tblPr>
      <w:tblGrid>
        <w:gridCol w:w="901"/>
        <w:gridCol w:w="109"/>
        <w:gridCol w:w="6916"/>
        <w:gridCol w:w="109"/>
        <w:gridCol w:w="109"/>
        <w:gridCol w:w="109"/>
        <w:gridCol w:w="109"/>
        <w:gridCol w:w="109"/>
        <w:gridCol w:w="109"/>
        <w:gridCol w:w="109"/>
        <w:gridCol w:w="109"/>
        <w:gridCol w:w="109"/>
        <w:gridCol w:w="301"/>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X</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Certain portions of this exhibit (indicated by "[***]") have been omitted pursuant to Regulation S-K, Item (601)(b)(10).</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29" w:type="dxa"/>
        <w:jc w:val="left"/>
        <w:tblInd w:w="0" w:type="dxa"/>
        <w:tblLayout w:type="fixed"/>
        <w:tblCellMar>
          <w:top w:w="28" w:type="dxa"/>
          <w:left w:w="28" w:type="dxa"/>
          <w:bottom w:w="28" w:type="dxa"/>
          <w:right w:w="28" w:type="dxa"/>
        </w:tblCellMar>
      </w:tblPr>
      <w:tblGrid>
        <w:gridCol w:w="2341"/>
        <w:gridCol w:w="146"/>
        <w:gridCol w:w="406"/>
        <w:gridCol w:w="253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Vroom, Inc.</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Thomas H. Shortt</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Thomas H. Shortt</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i/>
                <w:color w:val="000000"/>
                <w:sz w:val="20"/>
              </w:rPr>
              <w:t>(principal executive officer)</w:t>
            </w:r>
            <w:r>
              <w:rPr>
                <w:rFonts w:ascii="Times New Roman" w:hAnsi="Times New Roman"/>
                <w:color w:val="000000"/>
                <w:sz w:val="20"/>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Jonathan Sandison</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Sandison</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bookmarkStart w:id="22" w:name="vrm-ex10_1.htm"/>
      <w:bookmarkStart w:id="23" w:name="ksvrmex10_1"/>
      <w:bookmarkEnd w:id="22"/>
      <w:bookmarkEnd w:id="23"/>
      <w:r>
        <w:rPr/>
        <w:t> </w:t>
      </w:r>
      <w:r>
        <w:br w:type="page"/>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Certain information in this document has been excluded pursuant to Regulation S-K, Item (601)(b)(10). Such excluded information is both (i) not material and (ii) the type that the Registrant treats as private or confidential.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UACC AUTO FINANCING TRUST V, </w:t>
        <w:br/>
        <w:t>as Borrower,</w:t>
      </w:r>
    </w:p>
    <w:p>
      <w:pPr>
        <w:pStyle w:val="TextBody"/>
        <w:bidi w:val="0"/>
        <w:jc w:val="center"/>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Servicer and Custodian,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t>
        <w:br/>
        <w:t>as Backup Servicer and Account Bank,</w:t>
      </w:r>
    </w:p>
    <w:p>
      <w:pPr>
        <w:pStyle w:val="TextBody"/>
        <w:bidi w:val="0"/>
        <w:jc w:val="center"/>
        <w:rPr>
          <w:rFonts w:ascii="Times New Roman" w:hAnsi="Times New Roman"/>
          <w:color w:val="000000"/>
          <w:sz w:val="24"/>
        </w:rPr>
      </w:pPr>
      <w:r>
        <w:rPr>
          <w:rFonts w:ascii="Times New Roman" w:hAnsi="Times New Roman"/>
          <w:color w:val="000000"/>
          <w:sz w:val="24"/>
        </w:rPr>
        <w:t>the LENDERS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from time to time parties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w:t>
        <w:br/>
        <w:t>as Administrative Agent</w:t>
      </w:r>
    </w:p>
    <w:tbl>
      <w:tblPr>
        <w:tblW w:w="6496" w:type="dxa"/>
        <w:jc w:val="left"/>
        <w:tblInd w:w="0" w:type="dxa"/>
        <w:tblLayout w:type="fixed"/>
        <w:tblCellMar>
          <w:top w:w="28" w:type="dxa"/>
          <w:left w:w="28" w:type="dxa"/>
          <w:bottom w:w="28" w:type="dxa"/>
          <w:right w:w="28" w:type="dxa"/>
        </w:tblCellMar>
      </w:tblPr>
      <w:tblGrid>
        <w:gridCol w:w="6496"/>
      </w:tblGrid>
      <w:tr>
        <w:trPr/>
        <w:tc>
          <w:tcPr>
            <w:tcW w:w="6496" w:type="dxa"/>
            <w:tcBorders/>
            <w:vAlign w:val="center"/>
          </w:tcPr>
          <w:p>
            <w:pPr>
              <w:pStyle w:val="TableContents"/>
              <w:bidi w:val="0"/>
              <w:spacing w:before="0" w:after="283"/>
              <w:jc w:val="left"/>
              <w:rPr>
                <w:sz w:val="4"/>
                <w:szCs w:val="4"/>
              </w:rPr>
            </w:pPr>
            <w:r>
              <w:rPr>
                <w:sz w:val="4"/>
                <w:szCs w:val="4"/>
              </w:rPr>
            </w:r>
          </w:p>
        </w:tc>
      </w:tr>
      <w:tr>
        <w:trPr/>
        <w:tc>
          <w:tcPr>
            <w:tcW w:w="6496" w:type="dxa"/>
            <w:tcBorders>
              <w:top w:val="single" w:sz="4" w:space="0" w:color="000000"/>
            </w:tcBorders>
            <w:tcMar>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AMENDED AND RESTATED WAREHOUSE AGREEMENT</w:t>
            </w:r>
          </w:p>
        </w:tc>
      </w:tr>
      <w:tr>
        <w:trPr/>
        <w:tc>
          <w:tcPr>
            <w:tcW w:w="6496" w:type="dxa"/>
            <w:tcBorders>
              <w:bottom w:val="single" w:sz="4" w:space="0" w:color="000000"/>
            </w:tcBorders>
            <w:tcMar>
              <w:top w:w="0" w:type="dxa"/>
              <w:left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Dated as of March 29, 2021</w:t>
            </w:r>
          </w:p>
        </w:tc>
      </w:tr>
    </w:tbl>
    <w:p>
      <w:pPr>
        <w:pStyle w:val="TextBody"/>
        <w:bidi w:val="0"/>
        <w:spacing w:before="7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bookmarkStart w:id="24" w:name="tocheading"/>
      <w:bookmarkEnd w:id="24"/>
      <w:r>
        <w:rPr>
          <w:rFonts w:ascii="Times New Roman" w:hAnsi="Times New Roman"/>
          <w:b/>
          <w:caps/>
          <w:color w:val="000000"/>
          <w:sz w:val="24"/>
        </w:rPr>
        <w:t>Table of Contents</w:t>
      </w:r>
    </w:p>
    <w:p>
      <w:pPr>
        <w:pStyle w:val="TextBody"/>
        <w:bidi w:val="0"/>
        <w:jc w:val="right"/>
        <w:rPr>
          <w:rFonts w:ascii="Times New Roman" w:hAnsi="Times New Roman"/>
          <w:b/>
          <w:color w:val="000000"/>
          <w:sz w:val="24"/>
          <w:u w:val="single"/>
        </w:rPr>
      </w:pPr>
      <w:bookmarkStart w:id="25" w:name="tocpage"/>
      <w:bookmarkEnd w:id="25"/>
      <w:r>
        <w:rPr>
          <w:rFonts w:ascii="Times New Roman" w:hAnsi="Times New Roman"/>
          <w:b/>
          <w:color w:val="000000"/>
          <w:sz w:val="24"/>
          <w:u w:val="single"/>
        </w:rPr>
        <w:t>Page</w:t>
      </w:r>
    </w:p>
    <w:p>
      <w:pPr>
        <w:pStyle w:val="TextBody"/>
        <w:bidi w:val="0"/>
        <w:jc w:val="left"/>
        <w:rPr/>
      </w:pPr>
      <w:bookmarkStart w:id="26" w:name="toc"/>
      <w:bookmarkEnd w:id="26"/>
      <w:r>
        <w:rPr/>
        <w:t> </w:t>
      </w:r>
    </w:p>
    <w:p>
      <w:pPr>
        <w:pStyle w:val="TextBody"/>
        <w:bidi w:val="0"/>
        <w:jc w:val="left"/>
        <w:rPr>
          <w:rFonts w:ascii="Times New Roman" w:hAnsi="Times New Roman"/>
          <w:color w:val="000000"/>
          <w:sz w:val="24"/>
        </w:rPr>
      </w:pPr>
      <w:r>
        <w:rPr>
          <w:rFonts w:ascii="Times New Roman" w:hAnsi="Times New Roman"/>
          <w:color w:val="000000"/>
          <w:sz w:val="24"/>
        </w:rPr>
        <w:t>ARTICLE ONE DEFINITIONS; CONSTRUCTION</w:t>
      </w:r>
    </w:p>
    <w:p>
      <w:pPr>
        <w:pStyle w:val="TextBody"/>
        <w:bidi w:val="0"/>
        <w:jc w:val="left"/>
        <w:rPr>
          <w:rFonts w:ascii="Times New Roman" w:hAnsi="Times New Roman"/>
          <w:color w:val="000000"/>
          <w:sz w:val="24"/>
        </w:rPr>
      </w:pPr>
      <w:r>
        <w:rPr>
          <w:rFonts w:ascii="Times New Roman" w:hAnsi="Times New Roman"/>
          <w:color w:val="000000"/>
          <w:sz w:val="24"/>
        </w:rPr>
        <w:t>Section 1.01. Definitions</w:t>
      </w:r>
    </w:p>
    <w:p>
      <w:pPr>
        <w:pStyle w:val="TextBody"/>
        <w:bidi w:val="0"/>
        <w:jc w:val="left"/>
        <w:rPr>
          <w:rFonts w:ascii="Times New Roman" w:hAnsi="Times New Roman"/>
          <w:color w:val="000000"/>
          <w:sz w:val="24"/>
        </w:rPr>
      </w:pPr>
      <w:r>
        <w:rPr>
          <w:rFonts w:ascii="Times New Roman" w:hAnsi="Times New Roman"/>
          <w:color w:val="000000"/>
          <w:sz w:val="24"/>
        </w:rPr>
        <w:t>Section 1.02. Accounting Terms and Determinations</w:t>
      </w:r>
    </w:p>
    <w:p>
      <w:pPr>
        <w:pStyle w:val="TextBody"/>
        <w:bidi w:val="0"/>
        <w:jc w:val="left"/>
        <w:rPr>
          <w:rFonts w:ascii="Times New Roman" w:hAnsi="Times New Roman"/>
          <w:color w:val="000000"/>
          <w:sz w:val="24"/>
        </w:rPr>
      </w:pPr>
      <w:r>
        <w:rPr>
          <w:rFonts w:ascii="Times New Roman" w:hAnsi="Times New Roman"/>
          <w:color w:val="000000"/>
          <w:sz w:val="24"/>
        </w:rPr>
        <w:t>Section 1.03. Computation of Time Periods</w:t>
      </w:r>
    </w:p>
    <w:p>
      <w:pPr>
        <w:pStyle w:val="TextBody"/>
        <w:bidi w:val="0"/>
        <w:jc w:val="left"/>
        <w:rPr>
          <w:rFonts w:ascii="Times New Roman" w:hAnsi="Times New Roman"/>
          <w:color w:val="000000"/>
          <w:sz w:val="24"/>
        </w:rPr>
      </w:pPr>
      <w:r>
        <w:rPr>
          <w:rFonts w:ascii="Times New Roman" w:hAnsi="Times New Roman"/>
          <w:color w:val="000000"/>
          <w:sz w:val="24"/>
        </w:rPr>
        <w:t>Section 1.04. Interpretation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TWO LOANS</w:t>
      </w:r>
    </w:p>
    <w:p>
      <w:pPr>
        <w:pStyle w:val="TextBody"/>
        <w:bidi w:val="0"/>
        <w:jc w:val="left"/>
        <w:rPr>
          <w:rFonts w:ascii="Times New Roman" w:hAnsi="Times New Roman"/>
          <w:color w:val="000000"/>
          <w:sz w:val="24"/>
        </w:rPr>
      </w:pPr>
      <w:r>
        <w:rPr>
          <w:rFonts w:ascii="Times New Roman" w:hAnsi="Times New Roman"/>
          <w:color w:val="000000"/>
          <w:sz w:val="24"/>
        </w:rPr>
        <w:t>Section 2.01. Loans</w:t>
      </w:r>
    </w:p>
    <w:p>
      <w:pPr>
        <w:pStyle w:val="TextBody"/>
        <w:bidi w:val="0"/>
        <w:jc w:val="left"/>
        <w:rPr>
          <w:rFonts w:ascii="Times New Roman" w:hAnsi="Times New Roman"/>
          <w:color w:val="000000"/>
          <w:sz w:val="24"/>
        </w:rPr>
      </w:pPr>
      <w:r>
        <w:rPr>
          <w:rFonts w:ascii="Times New Roman" w:hAnsi="Times New Roman"/>
          <w:color w:val="000000"/>
          <w:sz w:val="24"/>
        </w:rPr>
        <w:t>Section 2.02. Funding Mechanics</w:t>
      </w:r>
    </w:p>
    <w:p>
      <w:pPr>
        <w:pStyle w:val="TextBody"/>
        <w:bidi w:val="0"/>
        <w:jc w:val="left"/>
        <w:rPr>
          <w:rFonts w:ascii="Times New Roman" w:hAnsi="Times New Roman"/>
          <w:color w:val="000000"/>
          <w:sz w:val="24"/>
        </w:rPr>
      </w:pPr>
      <w:r>
        <w:rPr>
          <w:rFonts w:ascii="Times New Roman" w:hAnsi="Times New Roman"/>
          <w:color w:val="000000"/>
          <w:sz w:val="24"/>
        </w:rPr>
        <w:t>Section 2.03. Reductions of Commitments</w:t>
      </w:r>
    </w:p>
    <w:p>
      <w:pPr>
        <w:pStyle w:val="TextBody"/>
        <w:bidi w:val="0"/>
        <w:jc w:val="left"/>
        <w:rPr>
          <w:rFonts w:ascii="Times New Roman" w:hAnsi="Times New Roman"/>
          <w:color w:val="000000"/>
          <w:sz w:val="24"/>
        </w:rPr>
      </w:pPr>
      <w:r>
        <w:rPr>
          <w:rFonts w:ascii="Times New Roman" w:hAnsi="Times New Roman"/>
          <w:color w:val="000000"/>
          <w:sz w:val="24"/>
        </w:rPr>
        <w:t>Section 2.04. Extensions of Commitments</w:t>
      </w:r>
    </w:p>
    <w:p>
      <w:pPr>
        <w:pStyle w:val="TextBody"/>
        <w:bidi w:val="0"/>
        <w:jc w:val="left"/>
        <w:rPr>
          <w:rFonts w:ascii="Times New Roman" w:hAnsi="Times New Roman"/>
          <w:color w:val="000000"/>
          <w:sz w:val="24"/>
        </w:rPr>
      </w:pPr>
      <w:r>
        <w:rPr>
          <w:rFonts w:ascii="Times New Roman" w:hAnsi="Times New Roman"/>
          <w:color w:val="000000"/>
          <w:sz w:val="24"/>
        </w:rPr>
        <w:t>Section 2.05. The Notes</w:t>
      </w:r>
    </w:p>
    <w:p>
      <w:pPr>
        <w:pStyle w:val="TextBody"/>
        <w:bidi w:val="0"/>
        <w:jc w:val="left"/>
        <w:rPr>
          <w:rFonts w:ascii="Times New Roman" w:hAnsi="Times New Roman"/>
          <w:color w:val="000000"/>
          <w:sz w:val="24"/>
        </w:rPr>
      </w:pPr>
      <w:r>
        <w:rPr>
          <w:rFonts w:ascii="Times New Roman" w:hAnsi="Times New Roman"/>
          <w:color w:val="000000"/>
          <w:sz w:val="24"/>
        </w:rPr>
        <w:t>Section 2.06. Optional Principal Repayments; Interpayments</w:t>
      </w:r>
    </w:p>
    <w:p>
      <w:pPr>
        <w:pStyle w:val="TextBody"/>
        <w:bidi w:val="0"/>
        <w:jc w:val="left"/>
        <w:rPr>
          <w:rFonts w:ascii="Times New Roman" w:hAnsi="Times New Roman"/>
          <w:color w:val="000000"/>
          <w:sz w:val="24"/>
        </w:rPr>
      </w:pPr>
      <w:r>
        <w:rPr>
          <w:rFonts w:ascii="Times New Roman" w:hAnsi="Times New Roman"/>
          <w:color w:val="000000"/>
          <w:sz w:val="24"/>
        </w:rPr>
        <w:t>Section 2.07. Payments</w:t>
      </w:r>
    </w:p>
    <w:p>
      <w:pPr>
        <w:pStyle w:val="TextBody"/>
        <w:bidi w:val="0"/>
        <w:jc w:val="left"/>
        <w:rPr>
          <w:rFonts w:ascii="Times New Roman" w:hAnsi="Times New Roman"/>
          <w:color w:val="000000"/>
          <w:sz w:val="24"/>
        </w:rPr>
      </w:pPr>
      <w:r>
        <w:rPr>
          <w:rFonts w:ascii="Times New Roman" w:hAnsi="Times New Roman"/>
          <w:color w:val="000000"/>
          <w:sz w:val="24"/>
        </w:rPr>
        <w:t>Section 2.08. Settlement Procedures</w:t>
      </w:r>
    </w:p>
    <w:p>
      <w:pPr>
        <w:pStyle w:val="TextBody"/>
        <w:bidi w:val="0"/>
        <w:jc w:val="left"/>
        <w:rPr>
          <w:rFonts w:ascii="Times New Roman" w:hAnsi="Times New Roman"/>
          <w:color w:val="000000"/>
          <w:sz w:val="24"/>
        </w:rPr>
      </w:pPr>
      <w:r>
        <w:rPr>
          <w:rFonts w:ascii="Times New Roman" w:hAnsi="Times New Roman"/>
          <w:color w:val="000000"/>
          <w:sz w:val="24"/>
        </w:rPr>
        <w:t>Section 2.09. Mandatory Payments</w:t>
      </w:r>
    </w:p>
    <w:p>
      <w:pPr>
        <w:pStyle w:val="TextBody"/>
        <w:bidi w:val="0"/>
        <w:jc w:val="left"/>
        <w:rPr>
          <w:rFonts w:ascii="Times New Roman" w:hAnsi="Times New Roman"/>
          <w:color w:val="000000"/>
          <w:sz w:val="24"/>
        </w:rPr>
      </w:pPr>
      <w:r>
        <w:rPr>
          <w:rFonts w:ascii="Times New Roman" w:hAnsi="Times New Roman"/>
          <w:color w:val="000000"/>
          <w:sz w:val="24"/>
        </w:rPr>
        <w:t>Section 2.10. Payments, Computations, Etc.</w:t>
      </w:r>
    </w:p>
    <w:p>
      <w:pPr>
        <w:pStyle w:val="TextBody"/>
        <w:bidi w:val="0"/>
        <w:jc w:val="left"/>
        <w:rPr>
          <w:rFonts w:ascii="Times New Roman" w:hAnsi="Times New Roman"/>
          <w:color w:val="000000"/>
          <w:sz w:val="24"/>
        </w:rPr>
      </w:pPr>
      <w:r>
        <w:rPr>
          <w:rFonts w:ascii="Times New Roman" w:hAnsi="Times New Roman"/>
          <w:color w:val="000000"/>
          <w:sz w:val="24"/>
        </w:rPr>
        <w:t>Section 2.11. Collections and Allocations; Investment of Funds</w:t>
      </w:r>
    </w:p>
    <w:p>
      <w:pPr>
        <w:pStyle w:val="TextBody"/>
        <w:bidi w:val="0"/>
        <w:jc w:val="left"/>
        <w:rPr>
          <w:rFonts w:ascii="Times New Roman" w:hAnsi="Times New Roman"/>
          <w:color w:val="000000"/>
          <w:sz w:val="24"/>
        </w:rPr>
      </w:pPr>
      <w:r>
        <w:rPr>
          <w:rFonts w:ascii="Times New Roman" w:hAnsi="Times New Roman"/>
          <w:color w:val="000000"/>
          <w:sz w:val="24"/>
        </w:rPr>
        <w:t>Section 2.12. Fees</w:t>
      </w:r>
    </w:p>
    <w:p>
      <w:pPr>
        <w:pStyle w:val="TextBody"/>
        <w:bidi w:val="0"/>
        <w:jc w:val="left"/>
        <w:rPr>
          <w:rFonts w:ascii="Times New Roman" w:hAnsi="Times New Roman"/>
          <w:color w:val="000000"/>
          <w:sz w:val="24"/>
        </w:rPr>
      </w:pPr>
      <w:r>
        <w:rPr>
          <w:rFonts w:ascii="Times New Roman" w:hAnsi="Times New Roman"/>
          <w:color w:val="000000"/>
          <w:sz w:val="24"/>
        </w:rPr>
        <w:t>Section 2.13. Increased Costs; Capital Adequacy; Illegality; Rating Requests</w:t>
      </w:r>
    </w:p>
    <w:p>
      <w:pPr>
        <w:pStyle w:val="TextBody"/>
        <w:bidi w:val="0"/>
        <w:jc w:val="left"/>
        <w:rPr>
          <w:rFonts w:ascii="Times New Roman" w:hAnsi="Times New Roman"/>
          <w:color w:val="000000"/>
          <w:sz w:val="24"/>
        </w:rPr>
      </w:pPr>
      <w:r>
        <w:rPr>
          <w:rFonts w:ascii="Times New Roman" w:hAnsi="Times New Roman"/>
          <w:color w:val="000000"/>
          <w:sz w:val="24"/>
        </w:rPr>
        <w:t>Section 2.14. Taxes</w:t>
      </w:r>
    </w:p>
    <w:p>
      <w:pPr>
        <w:pStyle w:val="TextBody"/>
        <w:bidi w:val="0"/>
        <w:jc w:val="left"/>
        <w:rPr>
          <w:rFonts w:ascii="Times New Roman" w:hAnsi="Times New Roman"/>
          <w:color w:val="000000"/>
          <w:sz w:val="24"/>
        </w:rPr>
      </w:pPr>
      <w:r>
        <w:rPr>
          <w:rFonts w:ascii="Times New Roman" w:hAnsi="Times New Roman"/>
          <w:color w:val="000000"/>
          <w:sz w:val="24"/>
        </w:rPr>
        <w:t>Section 2.15. Securitizations.</w:t>
      </w:r>
    </w:p>
    <w:p>
      <w:pPr>
        <w:pStyle w:val="TextBody"/>
        <w:bidi w:val="0"/>
        <w:jc w:val="left"/>
        <w:rPr>
          <w:rFonts w:ascii="Times New Roman" w:hAnsi="Times New Roman"/>
          <w:color w:val="000000"/>
          <w:sz w:val="24"/>
        </w:rPr>
      </w:pPr>
      <w:r>
        <w:rPr>
          <w:rFonts w:ascii="Times New Roman" w:hAnsi="Times New Roman"/>
          <w:color w:val="000000"/>
          <w:sz w:val="24"/>
        </w:rPr>
        <w:t>Section 2.16. Sharing of Payments, Etc.</w:t>
      </w:r>
    </w:p>
    <w:p>
      <w:pPr>
        <w:pStyle w:val="TextBody"/>
        <w:bidi w:val="0"/>
        <w:jc w:val="left"/>
        <w:rPr>
          <w:rFonts w:ascii="Times New Roman" w:hAnsi="Times New Roman"/>
          <w:color w:val="000000"/>
          <w:sz w:val="24"/>
        </w:rPr>
      </w:pPr>
      <w:r>
        <w:rPr>
          <w:rFonts w:ascii="Times New Roman" w:hAnsi="Times New Roman"/>
          <w:color w:val="000000"/>
          <w:sz w:val="24"/>
        </w:rPr>
        <w:t>Section 2.17. The Account Bank</w:t>
      </w:r>
    </w:p>
    <w:p>
      <w:pPr>
        <w:pStyle w:val="TextBody"/>
        <w:bidi w:val="0"/>
        <w:jc w:val="left"/>
        <w:rPr>
          <w:rFonts w:ascii="Times New Roman" w:hAnsi="Times New Roman"/>
          <w:color w:val="000000"/>
          <w:sz w:val="24"/>
        </w:rPr>
      </w:pPr>
      <w:r>
        <w:rPr>
          <w:rFonts w:ascii="Times New Roman" w:hAnsi="Times New Roman"/>
          <w:color w:val="000000"/>
          <w:sz w:val="24"/>
        </w:rPr>
        <w:t>Section 2.18. Benchmark Replacement Setting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THREE SECURITY</w:t>
      </w:r>
    </w:p>
    <w:p>
      <w:pPr>
        <w:pStyle w:val="TextBody"/>
        <w:bidi w:val="0"/>
        <w:jc w:val="left"/>
        <w:rPr>
          <w:rFonts w:ascii="Times New Roman" w:hAnsi="Times New Roman"/>
          <w:color w:val="000000"/>
          <w:sz w:val="24"/>
        </w:rPr>
      </w:pPr>
      <w:r>
        <w:rPr>
          <w:rFonts w:ascii="Times New Roman" w:hAnsi="Times New Roman"/>
          <w:color w:val="000000"/>
          <w:sz w:val="24"/>
        </w:rPr>
        <w:t>Section 3.01. Collateral and Back-Up Collateral</w:t>
      </w:r>
    </w:p>
    <w:p>
      <w:pPr>
        <w:pStyle w:val="TextBody"/>
        <w:bidi w:val="0"/>
        <w:jc w:val="left"/>
        <w:rPr>
          <w:rFonts w:ascii="Times New Roman" w:hAnsi="Times New Roman"/>
          <w:color w:val="000000"/>
          <w:sz w:val="24"/>
        </w:rPr>
      </w:pPr>
      <w:r>
        <w:rPr>
          <w:rFonts w:ascii="Times New Roman" w:hAnsi="Times New Roman"/>
          <w:color w:val="000000"/>
          <w:sz w:val="24"/>
        </w:rPr>
        <w:t>Section 3.02. Release of Collateral; No Legal Title</w:t>
      </w:r>
    </w:p>
    <w:p>
      <w:pPr>
        <w:pStyle w:val="TextBody"/>
        <w:bidi w:val="0"/>
        <w:jc w:val="left"/>
        <w:rPr>
          <w:rFonts w:ascii="Times New Roman" w:hAnsi="Times New Roman"/>
          <w:color w:val="000000"/>
          <w:sz w:val="24"/>
        </w:rPr>
      </w:pPr>
      <w:r>
        <w:rPr>
          <w:rFonts w:ascii="Times New Roman" w:hAnsi="Times New Roman"/>
          <w:color w:val="000000"/>
          <w:sz w:val="24"/>
        </w:rPr>
        <w:t>Section 3.03. Protection of Security Interest; Administrative Agent, as Attorney-in-Fact</w:t>
      </w:r>
    </w:p>
    <w:p>
      <w:pPr>
        <w:pStyle w:val="TextBody"/>
        <w:bidi w:val="0"/>
        <w:jc w:val="left"/>
        <w:rPr>
          <w:rFonts w:ascii="Times New Roman" w:hAnsi="Times New Roman"/>
          <w:color w:val="000000"/>
          <w:sz w:val="24"/>
        </w:rPr>
      </w:pPr>
      <w:r>
        <w:rPr>
          <w:rFonts w:ascii="Times New Roman" w:hAnsi="Times New Roman"/>
          <w:color w:val="000000"/>
          <w:sz w:val="24"/>
        </w:rPr>
        <w:t>Section 3.04. Assignment of the Purchase Agreement</w:t>
      </w:r>
    </w:p>
    <w:p>
      <w:pPr>
        <w:pStyle w:val="TextBody"/>
        <w:bidi w:val="0"/>
        <w:jc w:val="left"/>
        <w:rPr>
          <w:rFonts w:ascii="Times New Roman" w:hAnsi="Times New Roman"/>
          <w:color w:val="000000"/>
          <w:sz w:val="24"/>
        </w:rPr>
      </w:pPr>
      <w:r>
        <w:rPr>
          <w:rFonts w:ascii="Times New Roman" w:hAnsi="Times New Roman"/>
          <w:color w:val="000000"/>
          <w:sz w:val="24"/>
        </w:rPr>
        <w:t>Section 3.05. Waiver of Certain Laws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FOUR CONDITIONS OF CLOSING AND LOANS</w:t>
      </w:r>
    </w:p>
    <w:p>
      <w:pPr>
        <w:pStyle w:val="TextBody"/>
        <w:bidi w:val="0"/>
        <w:jc w:val="left"/>
        <w:rPr>
          <w:rFonts w:ascii="Times New Roman" w:hAnsi="Times New Roman"/>
          <w:color w:val="000000"/>
          <w:sz w:val="24"/>
        </w:rPr>
      </w:pPr>
      <w:r>
        <w:rPr>
          <w:rFonts w:ascii="Times New Roman" w:hAnsi="Times New Roman"/>
          <w:color w:val="000000"/>
          <w:sz w:val="24"/>
        </w:rPr>
        <w:t>Section 4.01. Conditions to Closing and Initial Loan</w:t>
      </w:r>
    </w:p>
    <w:p>
      <w:pPr>
        <w:pStyle w:val="TextBody"/>
        <w:bidi w:val="0"/>
        <w:jc w:val="left"/>
        <w:rPr>
          <w:rFonts w:ascii="Times New Roman" w:hAnsi="Times New Roman"/>
          <w:color w:val="000000"/>
          <w:sz w:val="24"/>
        </w:rPr>
      </w:pPr>
      <w:r>
        <w:rPr>
          <w:rFonts w:ascii="Times New Roman" w:hAnsi="Times New Roman"/>
          <w:color w:val="000000"/>
          <w:sz w:val="24"/>
        </w:rPr>
        <w:t>Section 4.02. Conditions Precedent to All Loans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FIVE REPRESENTATIONS AND WARRANTIES</w:t>
      </w:r>
    </w:p>
    <w:p>
      <w:pPr>
        <w:pStyle w:val="TextBody"/>
        <w:bidi w:val="0"/>
        <w:jc w:val="left"/>
        <w:rPr>
          <w:rFonts w:ascii="Times New Roman" w:hAnsi="Times New Roman"/>
          <w:color w:val="000000"/>
          <w:sz w:val="24"/>
        </w:rPr>
      </w:pPr>
      <w:r>
        <w:rPr>
          <w:rFonts w:ascii="Times New Roman" w:hAnsi="Times New Roman"/>
          <w:color w:val="000000"/>
          <w:sz w:val="24"/>
        </w:rPr>
        <w:t>Section 5.01. Representations and Warranties of the Borrower</w:t>
      </w:r>
    </w:p>
    <w:p>
      <w:pPr>
        <w:pStyle w:val="TextBody"/>
        <w:bidi w:val="0"/>
        <w:jc w:val="left"/>
        <w:rPr>
          <w:rFonts w:ascii="Times New Roman" w:hAnsi="Times New Roman"/>
          <w:color w:val="000000"/>
          <w:sz w:val="24"/>
        </w:rPr>
      </w:pPr>
      <w:r>
        <w:rPr>
          <w:rFonts w:ascii="Times New Roman" w:hAnsi="Times New Roman"/>
          <w:color w:val="000000"/>
          <w:sz w:val="24"/>
        </w:rPr>
        <w:t>Section 5.02. Representations and Warranties of the Borrower Relating to this Agreement and the Receivables</w:t>
      </w:r>
    </w:p>
    <w:p>
      <w:pPr>
        <w:pStyle w:val="TextBody"/>
        <w:bidi w:val="0"/>
        <w:jc w:val="left"/>
        <w:rPr>
          <w:rFonts w:ascii="Times New Roman" w:hAnsi="Times New Roman"/>
          <w:color w:val="000000"/>
          <w:sz w:val="24"/>
        </w:rPr>
      </w:pPr>
      <w:r>
        <w:rPr>
          <w:rFonts w:ascii="Times New Roman" w:hAnsi="Times New Roman"/>
          <w:color w:val="000000"/>
          <w:sz w:val="24"/>
        </w:rPr>
        <w:t>Section 5.03. Representations and Warranties of the Servicer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jc w:val="left"/>
        <w:rPr>
          <w:rFonts w:ascii="Times New Roman" w:hAnsi="Times New Roman"/>
          <w:color w:val="000000"/>
          <w:sz w:val="24"/>
        </w:rPr>
      </w:pPr>
      <w:r>
        <w:rPr>
          <w:rFonts w:ascii="Times New Roman" w:hAnsi="Times New Roman"/>
          <w:color w:val="000000"/>
          <w:sz w:val="24"/>
        </w:rPr>
        <w:t>Section 5.04. Retransfer of Certain Receivables</w:t>
      </w:r>
    </w:p>
    <w:p>
      <w:pPr>
        <w:pStyle w:val="TextBody"/>
        <w:bidi w:val="0"/>
        <w:jc w:val="left"/>
        <w:rPr>
          <w:rFonts w:ascii="Times New Roman" w:hAnsi="Times New Roman"/>
          <w:color w:val="000000"/>
          <w:sz w:val="24"/>
        </w:rPr>
      </w:pPr>
      <w:r>
        <w:rPr>
          <w:rFonts w:ascii="Times New Roman" w:hAnsi="Times New Roman"/>
          <w:color w:val="000000"/>
          <w:sz w:val="24"/>
        </w:rPr>
        <w:t>Section 5.05. Representations and Warranties of the Backup Servicer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SIX COVENANTS</w:t>
      </w:r>
    </w:p>
    <w:p>
      <w:pPr>
        <w:pStyle w:val="TextBody"/>
        <w:bidi w:val="0"/>
        <w:jc w:val="left"/>
        <w:rPr>
          <w:rFonts w:ascii="Times New Roman" w:hAnsi="Times New Roman"/>
          <w:color w:val="000000"/>
          <w:sz w:val="24"/>
        </w:rPr>
      </w:pPr>
      <w:r>
        <w:rPr>
          <w:rFonts w:ascii="Times New Roman" w:hAnsi="Times New Roman"/>
          <w:color w:val="000000"/>
          <w:sz w:val="24"/>
        </w:rPr>
        <w:t>Section 6.01. Affirmative Covenants of the Borrower</w:t>
      </w:r>
    </w:p>
    <w:p>
      <w:pPr>
        <w:pStyle w:val="TextBody"/>
        <w:bidi w:val="0"/>
        <w:jc w:val="left"/>
        <w:rPr>
          <w:rFonts w:ascii="Times New Roman" w:hAnsi="Times New Roman"/>
          <w:color w:val="000000"/>
          <w:sz w:val="24"/>
        </w:rPr>
      </w:pPr>
      <w:r>
        <w:rPr>
          <w:rFonts w:ascii="Times New Roman" w:hAnsi="Times New Roman"/>
          <w:color w:val="000000"/>
          <w:sz w:val="24"/>
        </w:rPr>
        <w:t>Section 6.02. Negative Covenants of the Borrower</w:t>
      </w:r>
    </w:p>
    <w:p>
      <w:pPr>
        <w:pStyle w:val="TextBody"/>
        <w:bidi w:val="0"/>
        <w:jc w:val="left"/>
        <w:rPr>
          <w:rFonts w:ascii="Times New Roman" w:hAnsi="Times New Roman"/>
          <w:color w:val="000000"/>
          <w:sz w:val="24"/>
        </w:rPr>
      </w:pPr>
      <w:r>
        <w:rPr>
          <w:rFonts w:ascii="Times New Roman" w:hAnsi="Times New Roman"/>
          <w:color w:val="000000"/>
          <w:sz w:val="24"/>
        </w:rPr>
        <w:t>Section 6.03. Covenant of the Borrower Relating to Hedge Transactions</w:t>
      </w:r>
    </w:p>
    <w:p>
      <w:pPr>
        <w:pStyle w:val="TextBody"/>
        <w:bidi w:val="0"/>
        <w:jc w:val="left"/>
        <w:rPr>
          <w:rFonts w:ascii="Times New Roman" w:hAnsi="Times New Roman"/>
          <w:color w:val="000000"/>
          <w:sz w:val="24"/>
        </w:rPr>
      </w:pPr>
      <w:r>
        <w:rPr>
          <w:rFonts w:ascii="Times New Roman" w:hAnsi="Times New Roman"/>
          <w:color w:val="000000"/>
          <w:sz w:val="24"/>
        </w:rPr>
        <w:t>Section 6.04. Affirmative Covenants of the Servicer</w:t>
      </w:r>
    </w:p>
    <w:p>
      <w:pPr>
        <w:pStyle w:val="TextBody"/>
        <w:bidi w:val="0"/>
        <w:jc w:val="left"/>
        <w:rPr>
          <w:rFonts w:ascii="Times New Roman" w:hAnsi="Times New Roman"/>
          <w:color w:val="000000"/>
          <w:sz w:val="24"/>
        </w:rPr>
      </w:pPr>
      <w:r>
        <w:rPr>
          <w:rFonts w:ascii="Times New Roman" w:hAnsi="Times New Roman"/>
          <w:color w:val="000000"/>
          <w:sz w:val="24"/>
        </w:rPr>
        <w:t>Section 6.05. Negative Covenants of the Servicer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SEVEN ADMINISTRATION AND SERVICING OF RECEIVABLES</w:t>
      </w:r>
    </w:p>
    <w:p>
      <w:pPr>
        <w:pStyle w:val="TextBody"/>
        <w:bidi w:val="0"/>
        <w:jc w:val="left"/>
        <w:rPr>
          <w:rFonts w:ascii="Times New Roman" w:hAnsi="Times New Roman"/>
          <w:color w:val="000000"/>
          <w:sz w:val="24"/>
        </w:rPr>
      </w:pPr>
      <w:r>
        <w:rPr>
          <w:rFonts w:ascii="Times New Roman" w:hAnsi="Times New Roman"/>
          <w:color w:val="000000"/>
          <w:sz w:val="24"/>
        </w:rPr>
        <w:t>Section 7.01. Designation of Servicing</w:t>
      </w:r>
    </w:p>
    <w:p>
      <w:pPr>
        <w:pStyle w:val="TextBody"/>
        <w:bidi w:val="0"/>
        <w:jc w:val="left"/>
        <w:rPr>
          <w:rFonts w:ascii="Times New Roman" w:hAnsi="Times New Roman"/>
          <w:color w:val="000000"/>
          <w:sz w:val="24"/>
        </w:rPr>
      </w:pPr>
      <w:r>
        <w:rPr>
          <w:rFonts w:ascii="Times New Roman" w:hAnsi="Times New Roman"/>
          <w:color w:val="000000"/>
          <w:sz w:val="24"/>
        </w:rPr>
        <w:t>Section 7.02. Servicing Compensation</w:t>
      </w:r>
    </w:p>
    <w:p>
      <w:pPr>
        <w:pStyle w:val="TextBody"/>
        <w:bidi w:val="0"/>
        <w:jc w:val="left"/>
        <w:rPr>
          <w:rFonts w:ascii="Times New Roman" w:hAnsi="Times New Roman"/>
          <w:color w:val="000000"/>
          <w:sz w:val="24"/>
        </w:rPr>
      </w:pPr>
      <w:r>
        <w:rPr>
          <w:rFonts w:ascii="Times New Roman" w:hAnsi="Times New Roman"/>
          <w:color w:val="000000"/>
          <w:sz w:val="24"/>
        </w:rPr>
        <w:t>Section 7.03. Duties of the Servicer</w:t>
      </w:r>
    </w:p>
    <w:p>
      <w:pPr>
        <w:pStyle w:val="TextBody"/>
        <w:bidi w:val="0"/>
        <w:jc w:val="left"/>
        <w:rPr>
          <w:rFonts w:ascii="Times New Roman" w:hAnsi="Times New Roman"/>
          <w:color w:val="000000"/>
          <w:sz w:val="24"/>
        </w:rPr>
      </w:pPr>
      <w:r>
        <w:rPr>
          <w:rFonts w:ascii="Times New Roman" w:hAnsi="Times New Roman"/>
          <w:color w:val="000000"/>
          <w:sz w:val="24"/>
        </w:rPr>
        <w:t>Section 7.04. Collection of Payments</w:t>
      </w:r>
    </w:p>
    <w:p>
      <w:pPr>
        <w:pStyle w:val="TextBody"/>
        <w:bidi w:val="0"/>
        <w:jc w:val="left"/>
        <w:rPr>
          <w:rFonts w:ascii="Times New Roman" w:hAnsi="Times New Roman"/>
          <w:color w:val="000000"/>
          <w:sz w:val="24"/>
        </w:rPr>
      </w:pPr>
      <w:r>
        <w:rPr>
          <w:rFonts w:ascii="Times New Roman" w:hAnsi="Times New Roman"/>
          <w:color w:val="000000"/>
          <w:sz w:val="24"/>
        </w:rPr>
        <w:t>Section 7.05. Payment of Certain Expenses by Servicer</w:t>
      </w:r>
    </w:p>
    <w:p>
      <w:pPr>
        <w:pStyle w:val="TextBody"/>
        <w:bidi w:val="0"/>
        <w:jc w:val="left"/>
        <w:rPr>
          <w:rFonts w:ascii="Times New Roman" w:hAnsi="Times New Roman"/>
          <w:color w:val="000000"/>
          <w:sz w:val="24"/>
        </w:rPr>
      </w:pPr>
      <w:r>
        <w:rPr>
          <w:rFonts w:ascii="Times New Roman" w:hAnsi="Times New Roman"/>
          <w:color w:val="000000"/>
          <w:sz w:val="24"/>
        </w:rPr>
        <w:t>Section 7.06. Reports</w:t>
      </w:r>
    </w:p>
    <w:p>
      <w:pPr>
        <w:pStyle w:val="TextBody"/>
        <w:bidi w:val="0"/>
        <w:jc w:val="left"/>
        <w:rPr>
          <w:rFonts w:ascii="Times New Roman" w:hAnsi="Times New Roman"/>
          <w:color w:val="000000"/>
          <w:sz w:val="24"/>
        </w:rPr>
      </w:pPr>
      <w:r>
        <w:rPr>
          <w:rFonts w:ascii="Times New Roman" w:hAnsi="Times New Roman"/>
          <w:color w:val="000000"/>
          <w:sz w:val="24"/>
        </w:rPr>
        <w:t>Section 7.07. Due Diligence</w:t>
      </w:r>
    </w:p>
    <w:p>
      <w:pPr>
        <w:pStyle w:val="TextBody"/>
        <w:bidi w:val="0"/>
        <w:jc w:val="left"/>
        <w:rPr>
          <w:rFonts w:ascii="Times New Roman" w:hAnsi="Times New Roman"/>
          <w:color w:val="000000"/>
          <w:sz w:val="24"/>
        </w:rPr>
      </w:pPr>
      <w:r>
        <w:rPr>
          <w:rFonts w:ascii="Times New Roman" w:hAnsi="Times New Roman"/>
          <w:color w:val="000000"/>
          <w:sz w:val="24"/>
        </w:rPr>
        <w:t>Section 7.08. Annual Statement as to Compliance</w:t>
      </w:r>
    </w:p>
    <w:p>
      <w:pPr>
        <w:pStyle w:val="TextBody"/>
        <w:bidi w:val="0"/>
        <w:jc w:val="left"/>
        <w:rPr>
          <w:rFonts w:ascii="Times New Roman" w:hAnsi="Times New Roman"/>
          <w:color w:val="000000"/>
          <w:sz w:val="24"/>
        </w:rPr>
      </w:pPr>
      <w:r>
        <w:rPr>
          <w:rFonts w:ascii="Times New Roman" w:hAnsi="Times New Roman"/>
          <w:color w:val="000000"/>
          <w:sz w:val="24"/>
        </w:rPr>
        <w:t>Section 7.09. Annual Independent Public Accountant’s Reports</w:t>
      </w:r>
    </w:p>
    <w:p>
      <w:pPr>
        <w:pStyle w:val="TextBody"/>
        <w:bidi w:val="0"/>
        <w:jc w:val="left"/>
        <w:rPr>
          <w:rFonts w:ascii="Times New Roman" w:hAnsi="Times New Roman"/>
          <w:color w:val="000000"/>
          <w:sz w:val="24"/>
        </w:rPr>
      </w:pPr>
      <w:r>
        <w:rPr>
          <w:rFonts w:ascii="Times New Roman" w:hAnsi="Times New Roman"/>
          <w:color w:val="000000"/>
          <w:sz w:val="24"/>
        </w:rPr>
        <w:t>Section 7.10. Rights Prior to Assumption of Duties by the Backup Servicer or Designation of Successor Servicer</w:t>
      </w:r>
    </w:p>
    <w:p>
      <w:pPr>
        <w:pStyle w:val="TextBody"/>
        <w:bidi w:val="0"/>
        <w:jc w:val="left"/>
        <w:rPr>
          <w:rFonts w:ascii="Times New Roman" w:hAnsi="Times New Roman"/>
          <w:color w:val="000000"/>
          <w:sz w:val="24"/>
        </w:rPr>
      </w:pPr>
      <w:r>
        <w:rPr>
          <w:rFonts w:ascii="Times New Roman" w:hAnsi="Times New Roman"/>
          <w:color w:val="000000"/>
          <w:sz w:val="24"/>
        </w:rPr>
        <w:t>Section 7.11. Rights After Assumption of Duties by Backup Servicer or Designation of Successor Servicer; Liability</w:t>
      </w:r>
    </w:p>
    <w:p>
      <w:pPr>
        <w:pStyle w:val="TextBody"/>
        <w:bidi w:val="0"/>
        <w:jc w:val="left"/>
        <w:rPr>
          <w:rFonts w:ascii="Times New Roman" w:hAnsi="Times New Roman"/>
          <w:color w:val="000000"/>
          <w:sz w:val="24"/>
        </w:rPr>
      </w:pPr>
      <w:r>
        <w:rPr>
          <w:rFonts w:ascii="Times New Roman" w:hAnsi="Times New Roman"/>
          <w:color w:val="000000"/>
          <w:sz w:val="24"/>
        </w:rPr>
        <w:t>Section 7.12. Limitation on Liability of the Servicer and Others</w:t>
      </w:r>
    </w:p>
    <w:p>
      <w:pPr>
        <w:pStyle w:val="TextBody"/>
        <w:bidi w:val="0"/>
        <w:jc w:val="left"/>
        <w:rPr>
          <w:rFonts w:ascii="Times New Roman" w:hAnsi="Times New Roman"/>
          <w:color w:val="000000"/>
          <w:sz w:val="24"/>
        </w:rPr>
      </w:pPr>
      <w:r>
        <w:rPr>
          <w:rFonts w:ascii="Times New Roman" w:hAnsi="Times New Roman"/>
          <w:color w:val="000000"/>
          <w:sz w:val="24"/>
        </w:rPr>
        <w:t>Section 7.13. The Servicer Not to Resign</w:t>
      </w:r>
    </w:p>
    <w:p>
      <w:pPr>
        <w:pStyle w:val="TextBody"/>
        <w:bidi w:val="0"/>
        <w:jc w:val="left"/>
        <w:rPr>
          <w:rFonts w:ascii="Times New Roman" w:hAnsi="Times New Roman"/>
          <w:color w:val="000000"/>
          <w:sz w:val="24"/>
        </w:rPr>
      </w:pPr>
      <w:r>
        <w:rPr>
          <w:rFonts w:ascii="Times New Roman" w:hAnsi="Times New Roman"/>
          <w:color w:val="000000"/>
          <w:sz w:val="24"/>
        </w:rPr>
        <w:t>Section 7.14. Servicer Termination Events</w:t>
      </w:r>
    </w:p>
    <w:p>
      <w:pPr>
        <w:pStyle w:val="TextBody"/>
        <w:bidi w:val="0"/>
        <w:jc w:val="left"/>
        <w:rPr>
          <w:rFonts w:ascii="Times New Roman" w:hAnsi="Times New Roman"/>
          <w:color w:val="000000"/>
          <w:sz w:val="24"/>
        </w:rPr>
      </w:pPr>
      <w:r>
        <w:rPr>
          <w:rFonts w:ascii="Times New Roman" w:hAnsi="Times New Roman"/>
          <w:color w:val="000000"/>
          <w:sz w:val="24"/>
        </w:rPr>
        <w:t>Section 7.15. Appointment of Successor Servicer</w:t>
      </w:r>
    </w:p>
    <w:p>
      <w:pPr>
        <w:pStyle w:val="TextBody"/>
        <w:bidi w:val="0"/>
        <w:jc w:val="left"/>
        <w:rPr>
          <w:rFonts w:ascii="Times New Roman" w:hAnsi="Times New Roman"/>
          <w:color w:val="000000"/>
          <w:sz w:val="24"/>
        </w:rPr>
      </w:pPr>
      <w:r>
        <w:rPr>
          <w:rFonts w:ascii="Times New Roman" w:hAnsi="Times New Roman"/>
          <w:color w:val="000000"/>
          <w:sz w:val="24"/>
        </w:rPr>
        <w:t>Section 7.16. Merger or Consolidation, Assumption of Obligations or Resignation of the Servicer</w:t>
      </w:r>
    </w:p>
    <w:p>
      <w:pPr>
        <w:pStyle w:val="TextBody"/>
        <w:bidi w:val="0"/>
        <w:jc w:val="left"/>
        <w:rPr>
          <w:rFonts w:ascii="Times New Roman" w:hAnsi="Times New Roman"/>
          <w:color w:val="000000"/>
          <w:sz w:val="24"/>
        </w:rPr>
      </w:pPr>
      <w:r>
        <w:rPr>
          <w:rFonts w:ascii="Times New Roman" w:hAnsi="Times New Roman"/>
          <w:color w:val="000000"/>
          <w:sz w:val="24"/>
        </w:rPr>
        <w:t>Section 7.17. Responsibilities of the Borrower</w:t>
      </w:r>
    </w:p>
    <w:p>
      <w:pPr>
        <w:pStyle w:val="TextBody"/>
        <w:bidi w:val="0"/>
        <w:jc w:val="left"/>
        <w:rPr>
          <w:rFonts w:ascii="Times New Roman" w:hAnsi="Times New Roman"/>
          <w:color w:val="000000"/>
          <w:sz w:val="24"/>
        </w:rPr>
      </w:pPr>
      <w:r>
        <w:rPr>
          <w:rFonts w:ascii="Times New Roman" w:hAnsi="Times New Roman"/>
          <w:color w:val="000000"/>
          <w:sz w:val="24"/>
        </w:rPr>
        <w:t>Section 7.18. Custody of Receivable Files.</w:t>
      </w:r>
    </w:p>
    <w:p>
      <w:pPr>
        <w:pStyle w:val="TextBody"/>
        <w:bidi w:val="0"/>
        <w:jc w:val="left"/>
        <w:rPr>
          <w:rFonts w:ascii="Times New Roman" w:hAnsi="Times New Roman"/>
          <w:color w:val="000000"/>
          <w:sz w:val="24"/>
        </w:rPr>
      </w:pPr>
      <w:r>
        <w:rPr>
          <w:rFonts w:ascii="Times New Roman" w:hAnsi="Times New Roman"/>
          <w:color w:val="000000"/>
          <w:sz w:val="24"/>
        </w:rPr>
        <w:t>Section 7.19. Duties of Custodian</w:t>
      </w:r>
    </w:p>
    <w:p>
      <w:pPr>
        <w:pStyle w:val="TextBody"/>
        <w:bidi w:val="0"/>
        <w:jc w:val="left"/>
        <w:rPr>
          <w:rFonts w:ascii="Times New Roman" w:hAnsi="Times New Roman"/>
          <w:color w:val="000000"/>
          <w:sz w:val="24"/>
        </w:rPr>
      </w:pPr>
      <w:r>
        <w:rPr>
          <w:rFonts w:ascii="Times New Roman" w:hAnsi="Times New Roman"/>
          <w:color w:val="000000"/>
          <w:sz w:val="24"/>
        </w:rPr>
        <w:t>Section 7.20. Certain Duties for Electronic Contracts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EIGHT THE BACKUP SERVICER</w:t>
      </w:r>
    </w:p>
    <w:p>
      <w:pPr>
        <w:pStyle w:val="TextBody"/>
        <w:bidi w:val="0"/>
        <w:jc w:val="left"/>
        <w:rPr>
          <w:rFonts w:ascii="Times New Roman" w:hAnsi="Times New Roman"/>
          <w:color w:val="000000"/>
          <w:sz w:val="24"/>
        </w:rPr>
      </w:pPr>
      <w:r>
        <w:rPr>
          <w:rFonts w:ascii="Times New Roman" w:hAnsi="Times New Roman"/>
          <w:color w:val="000000"/>
          <w:sz w:val="24"/>
        </w:rPr>
        <w:t>Section 8.01. Designation of the Backup Servicer</w:t>
      </w:r>
    </w:p>
    <w:p>
      <w:pPr>
        <w:pStyle w:val="TextBody"/>
        <w:bidi w:val="0"/>
        <w:jc w:val="left"/>
        <w:rPr>
          <w:rFonts w:ascii="Times New Roman" w:hAnsi="Times New Roman"/>
          <w:color w:val="000000"/>
          <w:sz w:val="24"/>
        </w:rPr>
      </w:pPr>
      <w:r>
        <w:rPr>
          <w:rFonts w:ascii="Times New Roman" w:hAnsi="Times New Roman"/>
          <w:color w:val="000000"/>
          <w:sz w:val="24"/>
        </w:rPr>
        <w:t>Section 8.02. Duties of the Backup Servicer</w:t>
      </w:r>
    </w:p>
    <w:p>
      <w:pPr>
        <w:pStyle w:val="TextBody"/>
        <w:bidi w:val="0"/>
        <w:jc w:val="left"/>
        <w:rPr>
          <w:rFonts w:ascii="Times New Roman" w:hAnsi="Times New Roman"/>
          <w:color w:val="000000"/>
          <w:sz w:val="24"/>
        </w:rPr>
      </w:pPr>
      <w:r>
        <w:rPr>
          <w:rFonts w:ascii="Times New Roman" w:hAnsi="Times New Roman"/>
          <w:color w:val="000000"/>
          <w:sz w:val="24"/>
        </w:rPr>
        <w:t>Section 8.03. Backup Servicing Compensation</w:t>
      </w:r>
    </w:p>
    <w:p>
      <w:pPr>
        <w:pStyle w:val="TextBody"/>
        <w:bidi w:val="0"/>
        <w:jc w:val="left"/>
        <w:rPr>
          <w:rFonts w:ascii="Times New Roman" w:hAnsi="Times New Roman"/>
          <w:color w:val="000000"/>
          <w:sz w:val="24"/>
        </w:rPr>
      </w:pPr>
      <w:r>
        <w:rPr>
          <w:rFonts w:ascii="Times New Roman" w:hAnsi="Times New Roman"/>
          <w:color w:val="000000"/>
          <w:sz w:val="24"/>
        </w:rPr>
        <w:t>Section 8.04. Backup Servicer Removal</w:t>
      </w:r>
    </w:p>
    <w:p>
      <w:pPr>
        <w:pStyle w:val="TextBody"/>
        <w:bidi w:val="0"/>
        <w:jc w:val="left"/>
        <w:rPr>
          <w:rFonts w:ascii="Times New Roman" w:hAnsi="Times New Roman"/>
          <w:color w:val="000000"/>
          <w:sz w:val="24"/>
        </w:rPr>
      </w:pPr>
      <w:r>
        <w:rPr>
          <w:rFonts w:ascii="Times New Roman" w:hAnsi="Times New Roman"/>
          <w:color w:val="000000"/>
          <w:sz w:val="24"/>
        </w:rPr>
        <w:t>Section 8.05. Backup Servicer Not to Resign</w:t>
      </w:r>
    </w:p>
    <w:p>
      <w:pPr>
        <w:pStyle w:val="TextBody"/>
        <w:bidi w:val="0"/>
        <w:jc w:val="left"/>
        <w:rPr>
          <w:rFonts w:ascii="Times New Roman" w:hAnsi="Times New Roman"/>
          <w:color w:val="000000"/>
          <w:sz w:val="24"/>
        </w:rPr>
      </w:pPr>
      <w:r>
        <w:rPr>
          <w:rFonts w:ascii="Times New Roman" w:hAnsi="Times New Roman"/>
          <w:color w:val="000000"/>
          <w:sz w:val="24"/>
        </w:rPr>
        <w:t>Section 8.06. Monthly Backup Servicer Certificate</w:t>
      </w:r>
    </w:p>
    <w:p>
      <w:pPr>
        <w:pStyle w:val="TextBody"/>
        <w:bidi w:val="0"/>
        <w:jc w:val="left"/>
        <w:rPr>
          <w:rFonts w:ascii="Times New Roman" w:hAnsi="Times New Roman"/>
          <w:color w:val="000000"/>
          <w:sz w:val="24"/>
        </w:rPr>
      </w:pPr>
      <w:r>
        <w:rPr>
          <w:rFonts w:ascii="Times New Roman" w:hAnsi="Times New Roman"/>
          <w:color w:val="000000"/>
          <w:sz w:val="24"/>
        </w:rPr>
        <w:t>Section 8.07. Covenants of the Backup Servicer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NINE TERMINATION EVENTS</w:t>
      </w:r>
    </w:p>
    <w:p>
      <w:pPr>
        <w:pStyle w:val="TextBody"/>
        <w:bidi w:val="0"/>
        <w:jc w:val="left"/>
        <w:rPr>
          <w:rFonts w:ascii="Times New Roman" w:hAnsi="Times New Roman"/>
          <w:color w:val="000000"/>
          <w:sz w:val="24"/>
        </w:rPr>
      </w:pPr>
      <w:r>
        <w:rPr>
          <w:rFonts w:ascii="Times New Roman" w:hAnsi="Times New Roman"/>
          <w:color w:val="000000"/>
          <w:sz w:val="24"/>
        </w:rPr>
        <w:t>Section 9.01. Termination Events</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jc w:val="left"/>
        <w:rPr>
          <w:rFonts w:ascii="Times New Roman" w:hAnsi="Times New Roman"/>
          <w:color w:val="000000"/>
          <w:sz w:val="24"/>
        </w:rPr>
      </w:pPr>
      <w:r>
        <w:rPr>
          <w:rFonts w:ascii="Times New Roman" w:hAnsi="Times New Roman"/>
          <w:color w:val="000000"/>
          <w:sz w:val="24"/>
        </w:rPr>
        <w:t>Section 9.02. Actions Upon Occurrence of the Termination Event</w:t>
      </w:r>
    </w:p>
    <w:p>
      <w:pPr>
        <w:pStyle w:val="TextBody"/>
        <w:bidi w:val="0"/>
        <w:jc w:val="left"/>
        <w:rPr>
          <w:rFonts w:ascii="Times New Roman" w:hAnsi="Times New Roman"/>
          <w:color w:val="000000"/>
          <w:sz w:val="24"/>
        </w:rPr>
      </w:pPr>
      <w:r>
        <w:rPr>
          <w:rFonts w:ascii="Times New Roman" w:hAnsi="Times New Roman"/>
          <w:color w:val="000000"/>
          <w:sz w:val="24"/>
        </w:rPr>
        <w:t>Section 9.03. Exercise of Remedies</w:t>
      </w:r>
    </w:p>
    <w:p>
      <w:pPr>
        <w:pStyle w:val="TextBody"/>
        <w:bidi w:val="0"/>
        <w:jc w:val="left"/>
        <w:rPr>
          <w:rFonts w:ascii="Times New Roman" w:hAnsi="Times New Roman"/>
          <w:color w:val="000000"/>
          <w:sz w:val="24"/>
        </w:rPr>
      </w:pPr>
      <w:r>
        <w:rPr>
          <w:rFonts w:ascii="Times New Roman" w:hAnsi="Times New Roman"/>
          <w:color w:val="000000"/>
          <w:sz w:val="24"/>
        </w:rPr>
        <w:t>Section 9.04. Waiver of Certain Laws</w:t>
      </w:r>
    </w:p>
    <w:p>
      <w:pPr>
        <w:pStyle w:val="TextBody"/>
        <w:bidi w:val="0"/>
        <w:jc w:val="left"/>
        <w:rPr>
          <w:rFonts w:ascii="Times New Roman" w:hAnsi="Times New Roman"/>
          <w:color w:val="000000"/>
          <w:sz w:val="24"/>
        </w:rPr>
      </w:pPr>
      <w:r>
        <w:rPr>
          <w:rFonts w:ascii="Times New Roman" w:hAnsi="Times New Roman"/>
          <w:color w:val="000000"/>
          <w:sz w:val="24"/>
        </w:rPr>
        <w:t>Section 9.05. Power of Attorney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TEN INDEMNIFICATION</w:t>
      </w:r>
    </w:p>
    <w:p>
      <w:pPr>
        <w:pStyle w:val="TextBody"/>
        <w:bidi w:val="0"/>
        <w:jc w:val="left"/>
        <w:rPr>
          <w:rFonts w:ascii="Times New Roman" w:hAnsi="Times New Roman"/>
          <w:color w:val="000000"/>
          <w:sz w:val="24"/>
        </w:rPr>
      </w:pPr>
      <w:r>
        <w:rPr>
          <w:rFonts w:ascii="Times New Roman" w:hAnsi="Times New Roman"/>
          <w:color w:val="000000"/>
          <w:sz w:val="24"/>
        </w:rPr>
        <w:t>Section 10.01. Indemnities by the Borrower and UACC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ELEVEN THE ADMINISTRATIVE AGENT</w:t>
      </w:r>
    </w:p>
    <w:p>
      <w:pPr>
        <w:pStyle w:val="TextBody"/>
        <w:bidi w:val="0"/>
        <w:jc w:val="left"/>
        <w:rPr>
          <w:rFonts w:ascii="Times New Roman" w:hAnsi="Times New Roman"/>
          <w:color w:val="000000"/>
          <w:sz w:val="24"/>
        </w:rPr>
      </w:pPr>
      <w:r>
        <w:rPr>
          <w:rFonts w:ascii="Times New Roman" w:hAnsi="Times New Roman"/>
          <w:color w:val="000000"/>
          <w:sz w:val="24"/>
        </w:rPr>
        <w:t>Section 11.01. Authorization and Action</w:t>
      </w:r>
    </w:p>
    <w:p>
      <w:pPr>
        <w:pStyle w:val="TextBody"/>
        <w:bidi w:val="0"/>
        <w:jc w:val="left"/>
        <w:rPr>
          <w:rFonts w:ascii="Times New Roman" w:hAnsi="Times New Roman"/>
          <w:sz w:val="20"/>
        </w:rPr>
      </w:pPr>
      <w:r>
        <w:rPr>
          <w:rFonts w:ascii="Times New Roman" w:hAnsi="Times New Roman"/>
          <w:color w:val="000000"/>
          <w:sz w:val="24"/>
        </w:rPr>
        <w:t>Section 11.02. Delegation of Duties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11.03. Exculpatory Provisions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11.04. Reliance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11.05. Non-Reliance on Administrative Agent and Other Lenders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11.06. Indemnification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11.07. Administrative Agent in its Individual Capacity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11.08. Successor Agents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TWELVE ASSIGNMENTS; PARTICIPATIONS</w:t>
      </w:r>
    </w:p>
    <w:p>
      <w:pPr>
        <w:pStyle w:val="TextBody"/>
        <w:bidi w:val="0"/>
        <w:jc w:val="left"/>
        <w:rPr>
          <w:rFonts w:ascii="Times New Roman" w:hAnsi="Times New Roman"/>
          <w:color w:val="000000"/>
          <w:sz w:val="24"/>
        </w:rPr>
      </w:pPr>
      <w:r>
        <w:rPr>
          <w:rFonts w:ascii="Times New Roman" w:hAnsi="Times New Roman"/>
          <w:color w:val="000000"/>
          <w:sz w:val="24"/>
        </w:rPr>
        <w:t>Section 12.01. Assignments and Participations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THIRTEEN MUTUAL COVENANTS REGARDING CONFIDENTIALITY</w:t>
      </w:r>
    </w:p>
    <w:p>
      <w:pPr>
        <w:pStyle w:val="TextBody"/>
        <w:bidi w:val="0"/>
        <w:jc w:val="left"/>
        <w:rPr>
          <w:rFonts w:ascii="Times New Roman" w:hAnsi="Times New Roman"/>
          <w:color w:val="000000"/>
          <w:sz w:val="24"/>
        </w:rPr>
      </w:pPr>
      <w:r>
        <w:rPr>
          <w:rFonts w:ascii="Times New Roman" w:hAnsi="Times New Roman"/>
          <w:color w:val="000000"/>
          <w:sz w:val="24"/>
        </w:rPr>
        <w:t>Section 13.01. Covenants of the Borrower, the Servicer, the Backup Servicer, the Account Bank and the Custodian</w:t>
      </w:r>
    </w:p>
    <w:p>
      <w:pPr>
        <w:pStyle w:val="TextBody"/>
        <w:bidi w:val="0"/>
        <w:jc w:val="left"/>
        <w:rPr>
          <w:rFonts w:ascii="Times New Roman" w:hAnsi="Times New Roman"/>
          <w:sz w:val="20"/>
        </w:rPr>
      </w:pPr>
      <w:r>
        <w:rPr>
          <w:rFonts w:ascii="Times New Roman" w:hAnsi="Times New Roman"/>
          <w:color w:val="000000"/>
          <w:sz w:val="24"/>
        </w:rPr>
        <w:t>Section 13.02. Covenants of the Administrative Agent and the Lenders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13.03. Non-Confidentiality of Tax Treatment and Tax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ARTICLE FOURTEEN MISCELLANEOUS</w:t>
      </w:r>
    </w:p>
    <w:p>
      <w:pPr>
        <w:pStyle w:val="TextBody"/>
        <w:bidi w:val="0"/>
        <w:jc w:val="left"/>
        <w:rPr>
          <w:rFonts w:ascii="Times New Roman" w:hAnsi="Times New Roman"/>
          <w:color w:val="000000"/>
          <w:sz w:val="24"/>
        </w:rPr>
      </w:pPr>
      <w:r>
        <w:rPr>
          <w:rFonts w:ascii="Times New Roman" w:hAnsi="Times New Roman"/>
          <w:color w:val="000000"/>
          <w:sz w:val="24"/>
        </w:rPr>
        <w:t>Section 14.01. Amendments and Waivers</w:t>
      </w:r>
    </w:p>
    <w:p>
      <w:pPr>
        <w:pStyle w:val="TextBody"/>
        <w:bidi w:val="0"/>
        <w:jc w:val="left"/>
        <w:rPr>
          <w:rFonts w:ascii="Times New Roman" w:hAnsi="Times New Roman"/>
          <w:sz w:val="20"/>
        </w:rPr>
      </w:pPr>
      <w:r>
        <w:rPr>
          <w:rFonts w:ascii="Times New Roman" w:hAnsi="Times New Roman"/>
          <w:color w:val="000000"/>
          <w:sz w:val="24"/>
        </w:rPr>
        <w:t>Section 14.02. Notices, Etc.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14.03. No Waiver, Rights and Remedies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14.04. Binding Effect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14.05. Term of this Agreement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Section 14.06. GOVERNING LAW; CONSENT TO JURISDICTION; WAIVER OF OBJECTION TO VENUE</w:t>
      </w:r>
    </w:p>
    <w:p>
      <w:pPr>
        <w:pStyle w:val="TextBody"/>
        <w:bidi w:val="0"/>
        <w:jc w:val="left"/>
        <w:rPr>
          <w:rFonts w:ascii="Times New Roman" w:hAnsi="Times New Roman"/>
          <w:sz w:val="20"/>
        </w:rPr>
      </w:pPr>
      <w:r>
        <w:rPr>
          <w:rFonts w:ascii="Times New Roman" w:hAnsi="Times New Roman"/>
          <w:color w:val="000000"/>
          <w:sz w:val="24"/>
        </w:rPr>
        <w:t>Section 14.07. WAIVER OF JURY TRIAL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14.08. Costs and Expenses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14.09. No Insolvency Proceedings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14.10. Recourse Against Certain Parties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14.11. Limitations on Consequential, Indirect and Certain Other Damages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14.12. AML Law Compliance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14.13. Execution in Counterparts; Severability; Integration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Section 14.14. Limitation of Liability of Owner Trustee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SCHEDULES</w:t>
      </w:r>
    </w:p>
    <w:p>
      <w:pPr>
        <w:pStyle w:val="TextBody"/>
        <w:bidi w:val="0"/>
        <w:jc w:val="left"/>
        <w:rPr>
          <w:rFonts w:ascii="Times New Roman" w:hAnsi="Times New Roman"/>
          <w:color w:val="000000"/>
          <w:sz w:val="24"/>
        </w:rPr>
      </w:pPr>
      <w:r>
        <w:rPr>
          <w:rFonts w:ascii="Times New Roman" w:hAnsi="Times New Roman"/>
          <w:color w:val="000000"/>
          <w:sz w:val="24"/>
        </w:rPr>
        <w:t>Schedule A – Representations and Warranties Regarding Security Interest SA-1</w:t>
      </w:r>
    </w:p>
    <w:p>
      <w:pPr>
        <w:pStyle w:val="TextBody"/>
        <w:bidi w:val="0"/>
        <w:jc w:val="left"/>
        <w:rPr>
          <w:rFonts w:ascii="Times New Roman" w:hAnsi="Times New Roman"/>
          <w:color w:val="000000"/>
          <w:sz w:val="24"/>
        </w:rPr>
      </w:pPr>
      <w:r>
        <w:rPr>
          <w:rFonts w:ascii="Times New Roman" w:hAnsi="Times New Roman"/>
          <w:color w:val="000000"/>
          <w:sz w:val="24"/>
        </w:rPr>
        <w:t>Schedule B – Eligible Receivable Criteria SB-1</w:t>
      </w:r>
    </w:p>
    <w:p>
      <w:pPr>
        <w:pStyle w:val="TextBody"/>
        <w:bidi w:val="0"/>
        <w:jc w:val="left"/>
        <w:rPr>
          <w:rFonts w:ascii="Times New Roman" w:hAnsi="Times New Roman"/>
          <w:color w:val="000000"/>
          <w:sz w:val="24"/>
        </w:rPr>
      </w:pPr>
      <w:r>
        <w:rPr>
          <w:rFonts w:ascii="Times New Roman" w:hAnsi="Times New Roman"/>
          <w:color w:val="000000"/>
          <w:sz w:val="24"/>
        </w:rPr>
        <w:t>Schedule C – Schedule of Receivables SC-1</w:t>
      </w:r>
    </w:p>
    <w:p>
      <w:pPr>
        <w:pStyle w:val="TextBody"/>
        <w:bidi w:val="0"/>
        <w:jc w:val="left"/>
        <w:rPr>
          <w:rFonts w:ascii="Times New Roman" w:hAnsi="Times New Roman"/>
          <w:sz w:val="20"/>
        </w:rPr>
      </w:pPr>
      <w:r>
        <w:rPr>
          <w:rFonts w:ascii="Times New Roman" w:hAnsi="Times New Roman"/>
          <w:color w:val="000000"/>
          <w:sz w:val="24"/>
        </w:rPr>
        <w:t>Schedule D – Location of Receivable Files</w:t>
      </w:r>
      <w:r>
        <w:rPr>
          <w:rFonts w:ascii="Times New Roman" w:hAnsi="Times New Roman"/>
          <w:color w:val="000000"/>
          <w:sz w:val="20"/>
        </w:rPr>
        <w:t xml:space="preserve"> </w:t>
      </w:r>
      <w:r>
        <w:rPr>
          <w:rFonts w:ascii="Times New Roman" w:hAnsi="Times New Roman"/>
          <w:color w:val="000000"/>
          <w:sz w:val="24"/>
        </w:rPr>
        <w:t>SD-1</w:t>
      </w:r>
    </w:p>
    <w:p>
      <w:pPr>
        <w:pStyle w:val="TextBody"/>
        <w:bidi w:val="0"/>
        <w:jc w:val="left"/>
        <w:rPr>
          <w:rFonts w:ascii="Times New Roman" w:hAnsi="Times New Roman"/>
          <w:sz w:val="20"/>
        </w:rPr>
      </w:pPr>
      <w:r>
        <w:rPr>
          <w:rFonts w:ascii="Times New Roman" w:hAnsi="Times New Roman"/>
          <w:color w:val="000000"/>
          <w:sz w:val="24"/>
        </w:rPr>
        <w:t>Schedule E – [***]</w:t>
      </w:r>
      <w:r>
        <w:rPr>
          <w:rFonts w:ascii="Times New Roman" w:hAnsi="Times New Roman"/>
          <w:color w:val="000000"/>
          <w:sz w:val="20"/>
        </w:rPr>
        <w:t xml:space="preserve"> </w:t>
      </w:r>
      <w:r>
        <w:rPr>
          <w:rFonts w:ascii="Times New Roman" w:hAnsi="Times New Roman"/>
          <w:color w:val="000000"/>
          <w:sz w:val="24"/>
        </w:rPr>
        <w:t>SE-1</w:t>
      </w:r>
    </w:p>
    <w:p>
      <w:pPr>
        <w:pStyle w:val="TextBody"/>
        <w:bidi w:val="0"/>
        <w:jc w:val="left"/>
        <w:rPr/>
      </w:pPr>
      <w:r>
        <w:rPr/>
        <w:t> </w:t>
      </w:r>
    </w:p>
    <w:p>
      <w:pPr>
        <w:pStyle w:val="TextBody"/>
        <w:bidi w:val="0"/>
        <w:spacing w:before="480" w:after="240"/>
        <w:jc w:val="center"/>
        <w:rPr>
          <w:rFonts w:ascii="Times New Roman" w:hAnsi="Times New Roman"/>
          <w:color w:val="000000"/>
          <w:sz w:val="24"/>
        </w:rPr>
      </w:pPr>
      <w:r>
        <w:rPr>
          <w:rFonts w:ascii="Times New Roman" w:hAnsi="Times New Roman"/>
          <w:color w:val="000000"/>
          <w:sz w:val="24"/>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 Form of Funding Request A-1</w:t>
      </w:r>
    </w:p>
    <w:p>
      <w:pPr>
        <w:pStyle w:val="TextBody"/>
        <w:bidi w:val="0"/>
        <w:jc w:val="left"/>
        <w:rPr>
          <w:rFonts w:ascii="Times New Roman" w:hAnsi="Times New Roman"/>
          <w:color w:val="000000"/>
          <w:sz w:val="24"/>
        </w:rPr>
      </w:pPr>
      <w:r>
        <w:rPr>
          <w:rFonts w:ascii="Times New Roman" w:hAnsi="Times New Roman"/>
          <w:color w:val="000000"/>
          <w:sz w:val="24"/>
        </w:rPr>
        <w:t>Exhibit B – Form of Note B-1</w:t>
      </w:r>
    </w:p>
    <w:p>
      <w:pPr>
        <w:pStyle w:val="TextBody"/>
        <w:bidi w:val="0"/>
        <w:jc w:val="left"/>
        <w:rPr>
          <w:rFonts w:ascii="Times New Roman" w:hAnsi="Times New Roman"/>
          <w:color w:val="000000"/>
          <w:sz w:val="24"/>
        </w:rPr>
      </w:pPr>
      <w:r>
        <w:rPr>
          <w:rFonts w:ascii="Times New Roman" w:hAnsi="Times New Roman"/>
          <w:color w:val="000000"/>
          <w:sz w:val="24"/>
        </w:rPr>
        <w:t>Exhibit C – Form of Assignment and Acceptance C-1</w:t>
      </w:r>
    </w:p>
    <w:p>
      <w:pPr>
        <w:pStyle w:val="TextBody"/>
        <w:bidi w:val="0"/>
        <w:jc w:val="left"/>
        <w:rPr>
          <w:rFonts w:ascii="Times New Roman" w:hAnsi="Times New Roman"/>
          <w:color w:val="000000"/>
          <w:sz w:val="24"/>
        </w:rPr>
      </w:pPr>
      <w:r>
        <w:rPr>
          <w:rFonts w:ascii="Times New Roman" w:hAnsi="Times New Roman"/>
          <w:color w:val="000000"/>
          <w:sz w:val="24"/>
        </w:rPr>
        <w:t>Exhibit D – Credit and Collection Policy D-1</w:t>
      </w:r>
    </w:p>
    <w:p>
      <w:pPr>
        <w:pStyle w:val="TextBody"/>
        <w:bidi w:val="0"/>
        <w:jc w:val="left"/>
        <w:rPr>
          <w:rFonts w:ascii="Times New Roman" w:hAnsi="Times New Roman"/>
          <w:sz w:val="20"/>
        </w:rPr>
      </w:pPr>
      <w:r>
        <w:rPr>
          <w:rFonts w:ascii="Times New Roman" w:hAnsi="Times New Roman"/>
          <w:color w:val="000000"/>
          <w:sz w:val="24"/>
        </w:rPr>
        <w:t>Exhibit E – Form of Power of Attorney</w:t>
      </w:r>
      <w:r>
        <w:rPr>
          <w:rFonts w:ascii="Times New Roman" w:hAnsi="Times New Roman"/>
          <w:color w:val="000000"/>
          <w:sz w:val="20"/>
        </w:rPr>
        <w:t xml:space="preserve"> </w:t>
      </w:r>
      <w:r>
        <w:rPr>
          <w:rFonts w:ascii="Times New Roman" w:hAnsi="Times New Roman"/>
          <w:color w:val="000000"/>
          <w:sz w:val="24"/>
        </w:rPr>
        <w:t>E-1</w:t>
      </w:r>
    </w:p>
    <w:p>
      <w:pPr>
        <w:pStyle w:val="TextBody"/>
        <w:bidi w:val="0"/>
        <w:jc w:val="left"/>
        <w:rPr>
          <w:rFonts w:ascii="Times New Roman" w:hAnsi="Times New Roman"/>
          <w:sz w:val="20"/>
        </w:rPr>
      </w:pPr>
      <w:r>
        <w:rPr>
          <w:rFonts w:ascii="Times New Roman" w:hAnsi="Times New Roman"/>
          <w:color w:val="000000"/>
          <w:sz w:val="24"/>
        </w:rPr>
        <w:t>Exhibit F – [***]</w:t>
      </w:r>
      <w:r>
        <w:rPr>
          <w:rFonts w:ascii="Times New Roman" w:hAnsi="Times New Roman"/>
          <w:color w:val="000000"/>
          <w:sz w:val="20"/>
        </w:rPr>
        <w:t xml:space="preserve"> </w:t>
      </w:r>
      <w:r>
        <w:rPr>
          <w:rFonts w:ascii="Times New Roman" w:hAnsi="Times New Roman"/>
          <w:color w:val="000000"/>
          <w:sz w:val="24"/>
        </w:rPr>
        <w:t>F-1</w:t>
      </w:r>
    </w:p>
    <w:p>
      <w:pPr>
        <w:pStyle w:val="TextBody"/>
        <w:bidi w:val="0"/>
        <w:jc w:val="left"/>
        <w:rPr>
          <w:rFonts w:ascii="Times New Roman" w:hAnsi="Times New Roman"/>
          <w:color w:val="000000"/>
          <w:sz w:val="24"/>
        </w:rPr>
      </w:pPr>
      <w:r>
        <w:rPr>
          <w:rFonts w:ascii="Times New Roman" w:hAnsi="Times New Roman"/>
          <w:color w:val="000000"/>
          <w:sz w:val="24"/>
        </w:rPr>
        <w:t>Exhibit G – Form of Release of Documents G-1</w:t>
      </w:r>
    </w:p>
    <w:p>
      <w:pPr>
        <w:pStyle w:val="TextBody"/>
        <w:bidi w:val="0"/>
        <w:jc w:val="left"/>
        <w:rPr>
          <w:rFonts w:ascii="Times New Roman" w:hAnsi="Times New Roman"/>
          <w:color w:val="000000"/>
          <w:sz w:val="24"/>
        </w:rPr>
      </w:pPr>
      <w:r>
        <w:rPr>
          <w:rFonts w:ascii="Times New Roman" w:hAnsi="Times New Roman"/>
          <w:color w:val="000000"/>
          <w:sz w:val="24"/>
        </w:rPr>
        <w:t>Exhibit H – Form of Receivable Receipt H-1</w:t>
      </w:r>
    </w:p>
    <w:p>
      <w:pPr>
        <w:pStyle w:val="TextBody"/>
        <w:bidi w:val="0"/>
        <w:jc w:val="left"/>
        <w:rPr>
          <w:rFonts w:ascii="Times New Roman" w:hAnsi="Times New Roman"/>
          <w:sz w:val="20"/>
        </w:rPr>
      </w:pPr>
      <w:r>
        <w:rPr>
          <w:rFonts w:ascii="Times New Roman" w:hAnsi="Times New Roman"/>
          <w:color w:val="000000"/>
          <w:sz w:val="24"/>
        </w:rPr>
        <w:t>Exhibit I – Form of Securitization Release</w:t>
      </w:r>
      <w:r>
        <w:rPr>
          <w:rFonts w:ascii="Times New Roman" w:hAnsi="Times New Roman"/>
          <w:color w:val="000000"/>
          <w:sz w:val="20"/>
        </w:rPr>
        <w:t xml:space="preserve"> </w:t>
      </w:r>
      <w:r>
        <w:rPr>
          <w:rFonts w:ascii="Times New Roman" w:hAnsi="Times New Roman"/>
          <w:color w:val="000000"/>
          <w:sz w:val="24"/>
        </w:rPr>
        <w:t>I-1</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AND RESTATED 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Amended and Restated Warehouse Agreement, dated as of March 29, 2021 (as amended, restated, supplemented or otherwise modified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by and among UACC Auto Financing Trust V, a Delaware statutory trust,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 California corporation (“</w:t>
      </w:r>
      <w:r>
        <w:rPr>
          <w:rFonts w:ascii="Times New Roman" w:hAnsi="Times New Roman"/>
          <w:color w:val="000000"/>
          <w:sz w:val="24"/>
          <w:u w:val="single"/>
        </w:rPr>
        <w:t>UACC</w:t>
      </w:r>
      <w:r>
        <w:rPr>
          <w:rFonts w:ascii="Times New Roman" w:hAnsi="Times New Roman"/>
          <w:color w:val="000000"/>
          <w:sz w:val="20"/>
        </w:rPr>
        <w:t>”</w:t>
      </w:r>
      <w:r>
        <w:rPr>
          <w:rFonts w:ascii="Times New Roman" w:hAnsi="Times New Roman"/>
          <w:color w:val="000000"/>
          <w:sz w:val="24"/>
        </w:rPr>
        <w:t>),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 (“[***]”), as backup servicer (in such capacity, the “</w:t>
      </w:r>
      <w:r>
        <w:rPr>
          <w:rFonts w:ascii="Times New Roman" w:hAnsi="Times New Roman"/>
          <w:color w:val="000000"/>
          <w:sz w:val="24"/>
          <w:u w:val="single"/>
        </w:rPr>
        <w:t>Backup Servicer</w:t>
      </w:r>
      <w:r>
        <w:rPr>
          <w:rFonts w:ascii="Times New Roman" w:hAnsi="Times New Roman"/>
          <w:color w:val="000000"/>
          <w:sz w:val="20"/>
        </w:rPr>
        <w:t>”</w:t>
      </w:r>
      <w:r>
        <w:rPr>
          <w:rFonts w:ascii="Times New Roman" w:hAnsi="Times New Roman"/>
          <w:color w:val="000000"/>
          <w:sz w:val="24"/>
        </w:rPr>
        <w:t>), and as account bank (in such capacity, the “</w:t>
      </w:r>
      <w:r>
        <w:rPr>
          <w:rFonts w:ascii="Times New Roman" w:hAnsi="Times New Roman"/>
          <w:color w:val="000000"/>
          <w:sz w:val="24"/>
          <w:u w:val="single"/>
        </w:rPr>
        <w:t>Account Bank</w:t>
      </w:r>
      <w:r>
        <w:rPr>
          <w:rFonts w:ascii="Times New Roman" w:hAnsi="Times New Roman"/>
          <w:color w:val="000000"/>
          <w:sz w:val="20"/>
        </w:rPr>
        <w:t>”</w:t>
      </w:r>
      <w:r>
        <w:rPr>
          <w:rFonts w:ascii="Times New Roman" w:hAnsi="Times New Roman"/>
          <w:color w:val="000000"/>
          <w:sz w:val="24"/>
        </w:rPr>
        <w:t>), the lenders from time to time parties hereto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 and [***], as administrative agent for the Lenders and as agent for the Secured Parties (as defined herein)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and amends and restates in its entirety the Warehouse Agreement, dated as of July 11, 2019 (as amended by Amendment No. 1 thereto dated as of March 11, 2020, Amendment No. 2 thereto dated as of April 27, 2020 and Amendment No. 3 thereto dated as of October 5, 2020, the “</w:t>
      </w:r>
      <w:r>
        <w:rPr>
          <w:rFonts w:ascii="Times New Roman" w:hAnsi="Times New Roman"/>
          <w:color w:val="000000"/>
          <w:sz w:val="24"/>
          <w:u w:val="single"/>
        </w:rPr>
        <w:t>Existing Agreement</w:t>
      </w:r>
      <w:r>
        <w:rPr>
          <w:rFonts w:ascii="Times New Roman" w:hAnsi="Times New Roman"/>
          <w:color w:val="000000"/>
          <w:sz w:val="20"/>
        </w:rPr>
        <w:t>”</w:t>
      </w:r>
      <w:r>
        <w:rPr>
          <w:rFonts w:ascii="Times New Roman" w:hAnsi="Times New Roman"/>
          <w:color w:val="000000"/>
          <w:sz w:val="24"/>
        </w:rPr>
        <w:t>) among the foregoing parties. This Agreement shall not constitute a novation of the obligations and liabilities existing under the Existing Agreement or evidence payment of all or any of such obligations and liabilities.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was formed for the purpose of taking assignments of, and holding, various assets, including motor vehicle finance contracts, amounts received on or in respect of such finance contracts and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make loans to the Borrower from time to time, the proceeds of which will be used to finance the purchase price of motor vehicle retail installment contracts as described herein;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Lenders have agreed to make such loans to the Borrower and [***] has agreed to act as Backup Servicer and Account Bank, in each case upon the terms and subject to the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for other good and valuable consideration, the receipt and sufficiency of which are hereby acknowledged, the parties hereto agree, effective as of the Restatement Closing Date, as follows: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w:t>
      </w:r>
    </w:p>
    <w:p>
      <w:pPr>
        <w:pStyle w:val="TextBody"/>
        <w:bidi w:val="0"/>
        <w:spacing w:before="0" w:after="240"/>
        <w:jc w:val="center"/>
        <w:rPr/>
      </w:pPr>
      <w:r>
        <w:rPr>
          <w:rFonts w:ascii="Times New Roman" w:hAnsi="Times New Roman"/>
          <w:b/>
          <w:color w:val="000000"/>
          <w:sz w:val="24"/>
        </w:rPr>
        <w:br/>
      </w:r>
      <w:r>
        <w:rPr>
          <w:rFonts w:ascii="Times New Roman" w:hAnsi="Times New Roman"/>
          <w:color w:val="000000"/>
          <w:sz w:val="24"/>
        </w:rPr>
        <w:t>DEFINITIONS; 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w:t>
      </w:r>
    </w:p>
    <w:p>
      <w:pPr>
        <w:pStyle w:val="TextBody"/>
        <w:bidi w:val="0"/>
        <w:spacing w:before="0" w:after="240"/>
        <w:jc w:val="both"/>
        <w:rPr/>
      </w:pPr>
      <w:r>
        <w:rPr>
          <w:rFonts w:ascii="Times New Roman" w:hAnsi="Times New Roman"/>
          <w:color w:val="000000"/>
          <w:sz w:val="24"/>
          <w:u w:val="single"/>
        </w:rPr>
        <w:t xml:space="preserve">Definitions </w:t>
      </w:r>
      <w:r>
        <w:rPr>
          <w:rFonts w:ascii="Times New Roman" w:hAnsi="Times New Roman"/>
          <w:color w:val="000000"/>
          <w:sz w:val="24"/>
        </w:rPr>
        <w:t>Whenever used herein, unless the context otherwise requires, the following words and phrases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Account Bank</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Account Bank Fee</w:t>
      </w:r>
      <w:r>
        <w:rPr>
          <w:rFonts w:ascii="Times New Roman" w:hAnsi="Times New Roman"/>
          <w:color w:val="000000"/>
          <w:sz w:val="20"/>
        </w:rPr>
        <w:t xml:space="preserve">” </w:t>
      </w:r>
      <w:r>
        <w:rPr>
          <w:rFonts w:ascii="Times New Roman" w:hAnsi="Times New Roman"/>
          <w:color w:val="000000"/>
          <w:sz w:val="24"/>
        </w:rPr>
        <w:t>means $[***] per month.</w:t>
      </w:r>
    </w:p>
    <w:p>
      <w:pPr>
        <w:pStyle w:val="TextBody"/>
        <w:bidi w:val="0"/>
        <w:spacing w:before="0" w:after="240"/>
        <w:jc w:val="both"/>
        <w:rPr/>
      </w:pPr>
      <w:r>
        <w:rPr>
          <w:color w:val="000000"/>
        </w:rPr>
        <w:t>“</w:t>
      </w:r>
      <w:r>
        <w:rPr>
          <w:rFonts w:ascii="Times New Roman" w:hAnsi="Times New Roman"/>
          <w:color w:val="000000"/>
          <w:sz w:val="24"/>
          <w:u w:val="single"/>
        </w:rPr>
        <w:t>Account Collateral</w:t>
      </w:r>
      <w:r>
        <w:rPr>
          <w:rFonts w:ascii="Times New Roman" w:hAnsi="Times New Roman"/>
          <w:color w:val="000000"/>
          <w:sz w:val="20"/>
        </w:rPr>
        <w:t xml:space="preserve">” </w:t>
      </w:r>
      <w:r>
        <w:rPr>
          <w:rFonts w:ascii="Times New Roman" w:hAnsi="Times New Roman"/>
          <w:color w:val="000000"/>
          <w:sz w:val="24"/>
        </w:rPr>
        <w:t>means, with respect to each Account, such Account, together with all cash, securities, financial assets (as defined in Section 8-102(a)(9) of the UCC) and investments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other property from time to time deposited or credited to such Account and all proceeds thereof.</w:t>
      </w:r>
    </w:p>
    <w:p>
      <w:pPr>
        <w:pStyle w:val="TextBody"/>
        <w:bidi w:val="0"/>
        <w:spacing w:before="0" w:after="240"/>
        <w:jc w:val="both"/>
        <w:rPr/>
      </w:pPr>
      <w:r>
        <w:rPr>
          <w:color w:val="000000"/>
        </w:rPr>
        <w:t>“</w:t>
      </w:r>
      <w:r>
        <w:rPr>
          <w:rFonts w:ascii="Times New Roman" w:hAnsi="Times New Roman"/>
          <w:color w:val="000000"/>
          <w:sz w:val="24"/>
          <w:u w:val="single"/>
        </w:rPr>
        <w:t>Account Control Agreement</w:t>
      </w:r>
      <w:r>
        <w:rPr>
          <w:rFonts w:ascii="Times New Roman" w:hAnsi="Times New Roman"/>
          <w:color w:val="000000"/>
          <w:sz w:val="20"/>
        </w:rPr>
        <w:t xml:space="preserve">” </w:t>
      </w:r>
      <w:r>
        <w:rPr>
          <w:rFonts w:ascii="Times New Roman" w:hAnsi="Times New Roman"/>
          <w:color w:val="000000"/>
          <w:sz w:val="24"/>
        </w:rPr>
        <w:t>means the Controlled Accounts Control Agreement relating to the Collection Account and the Reserve Account, dated as of the Closing Date, among the Borrower, the Servicer, the Administrative Agent and the Account Bank.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Account(s)</w:t>
      </w:r>
      <w:r>
        <w:rPr>
          <w:rFonts w:ascii="Times New Roman" w:hAnsi="Times New Roman"/>
          <w:color w:val="000000"/>
          <w:sz w:val="20"/>
        </w:rPr>
        <w:t xml:space="preserve">” </w:t>
      </w:r>
      <w:r>
        <w:rPr>
          <w:rFonts w:ascii="Times New Roman" w:hAnsi="Times New Roman"/>
          <w:color w:val="000000"/>
          <w:sz w:val="24"/>
        </w:rPr>
        <w:t>means the Collection Account, the Local Bank Account, the Reserve Account and the Hedge Collateral Account.</w:t>
      </w:r>
    </w:p>
    <w:p>
      <w:pPr>
        <w:pStyle w:val="TextBody"/>
        <w:bidi w:val="0"/>
        <w:spacing w:before="0" w:after="240"/>
        <w:jc w:val="both"/>
        <w:rPr/>
      </w:pPr>
      <w:r>
        <w:rPr>
          <w:color w:val="000000"/>
        </w:rPr>
        <w:t>“</w:t>
      </w:r>
      <w:r>
        <w:rPr>
          <w:rFonts w:ascii="Times New Roman" w:hAnsi="Times New Roman"/>
          <w:color w:val="000000"/>
          <w:sz w:val="24"/>
          <w:u w:val="single"/>
        </w:rPr>
        <w:t>Acquired Portfolio Receivables</w:t>
      </w:r>
      <w:r>
        <w:rPr>
          <w:rFonts w:ascii="Times New Roman" w:hAnsi="Times New Roman"/>
          <w:color w:val="000000"/>
          <w:sz w:val="20"/>
        </w:rPr>
        <w:t xml:space="preserve">” </w:t>
      </w:r>
      <w:r>
        <w:rPr>
          <w:rFonts w:ascii="Times New Roman" w:hAnsi="Times New Roman"/>
          <w:color w:val="000000"/>
          <w:sz w:val="24"/>
        </w:rPr>
        <w:t>means Receivables purchased by UACC pursuant to a sale and purchase agreement that is approved by the Administrative Agent. For the avoidance of doubt, Acquired Portfolio Receivables shall include any Receivables that were previously pledged by UACC or any Affiliate thereof to another lender or collateral agent pursuant to another credit facility or to a trustee or collateral agent pursuant to a Securitization; provided, however that Repurchased UACST Receivables shall not constitute “Acquired Portfolio Receivables”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Additional Amount</w:t>
      </w:r>
      <w:r>
        <w:rPr>
          <w:rFonts w:ascii="Times New Roman" w:hAnsi="Times New Roman"/>
          <w:color w:val="000000"/>
          <w:sz w:val="20"/>
        </w:rPr>
        <w:t xml:space="preserve">” </w:t>
      </w:r>
      <w:r>
        <w:rPr>
          <w:rFonts w:ascii="Times New Roman" w:hAnsi="Times New Roman"/>
          <w:color w:val="000000"/>
          <w:sz w:val="24"/>
        </w:rPr>
        <w:t>has the meaning given to such term in Section 2.14(a).</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means, with respect to any day, (i) so long as the Termination Date has not occurred and (a)(1) no Overcollateralization Increase Event has occurred or an Overcollateralization Increase Event has occurred that has been cured and (2) prior to the Commitment Termination Date, with respect to (A) an Acquired Portfolio Receivable, a percentage approved in writing by the Administrative Agent and (B) all Receivables other than an Acquired Portfolio Receivable, [***]% and (b)(1) an Overcollateralization Increase Event has occurred that has not been cured [***]%, or (ii) following the occurrence of the Termination Date, [***]%.</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means accountants, attorneys, consultants, advisors, credit enhancers, liquidity providers and Persons similar to the foregoing and the respective directors, officers, employees and managers of each of the foregoing.</w:t>
      </w:r>
    </w:p>
    <w:p>
      <w:pPr>
        <w:pStyle w:val="TextBody"/>
        <w:bidi w:val="0"/>
        <w:spacing w:before="0" w:after="240"/>
        <w:jc w:val="both"/>
        <w:rPr/>
      </w:pPr>
      <w:r>
        <w:rPr>
          <w:color w:val="000000"/>
        </w:rPr>
        <w:t>“</w:t>
      </w:r>
      <w:r>
        <w:rPr>
          <w:rFonts w:ascii="Times New Roman" w:hAnsi="Times New Roman"/>
          <w:color w:val="000000"/>
          <w:sz w:val="24"/>
          <w:u w:val="single"/>
        </w:rPr>
        <w:t>Affected Party</w:t>
      </w:r>
      <w:r>
        <w:rPr>
          <w:rFonts w:ascii="Times New Roman" w:hAnsi="Times New Roman"/>
          <w:color w:val="000000"/>
          <w:sz w:val="20"/>
        </w:rPr>
        <w:t xml:space="preserve">” </w:t>
      </w:r>
      <w:r>
        <w:rPr>
          <w:rFonts w:ascii="Times New Roman" w:hAnsi="Times New Roman"/>
          <w:color w:val="000000"/>
          <w:sz w:val="24"/>
        </w:rPr>
        <w:t>has the meaning given to such term in Section 2.13(a).</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0" w:after="240"/>
        <w:jc w:val="both"/>
        <w:rPr/>
      </w:pPr>
      <w:r>
        <w:rPr>
          <w:color w:val="000000"/>
        </w:rPr>
        <w:t>“</w:t>
      </w:r>
      <w:r>
        <w:rPr>
          <w:rFonts w:ascii="Times New Roman" w:hAnsi="Times New Roman"/>
          <w:color w:val="000000"/>
          <w:sz w:val="24"/>
          <w:u w:val="single"/>
        </w:rPr>
        <w:t>Aggregate Commitment</w:t>
      </w:r>
      <w:r>
        <w:rPr>
          <w:rFonts w:ascii="Times New Roman" w:hAnsi="Times New Roman"/>
          <w:color w:val="000000"/>
          <w:sz w:val="20"/>
        </w:rPr>
        <w:t xml:space="preserve">” </w:t>
      </w:r>
      <w:r>
        <w:rPr>
          <w:rFonts w:ascii="Times New Roman" w:hAnsi="Times New Roman"/>
          <w:color w:val="000000"/>
          <w:sz w:val="24"/>
        </w:rPr>
        <w:t>means, as of any day, the sum of the Commitments of each Lender.</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Aggregate Net Principal Balance</w:t>
      </w:r>
      <w:r>
        <w:rPr>
          <w:rFonts w:ascii="Times New Roman" w:hAnsi="Times New Roman"/>
          <w:color w:val="000000"/>
          <w:sz w:val="20"/>
        </w:rPr>
        <w:t xml:space="preserve">” </w:t>
      </w:r>
      <w:r>
        <w:rPr>
          <w:rFonts w:ascii="Times New Roman" w:hAnsi="Times New Roman"/>
          <w:color w:val="000000"/>
          <w:sz w:val="24"/>
        </w:rPr>
        <w:t>means, as of any day, (i) the aggregate Net Principal Balance minus (ii) the Excess Concentration Amount.</w:t>
      </w:r>
    </w:p>
    <w:p>
      <w:pPr>
        <w:pStyle w:val="TextBody"/>
        <w:bidi w:val="0"/>
        <w:spacing w:before="0" w:after="240"/>
        <w:jc w:val="both"/>
        <w:rPr/>
      </w:pPr>
      <w:r>
        <w:rPr>
          <w:color w:val="000000"/>
        </w:rPr>
        <w:t>“</w:t>
      </w:r>
      <w:r>
        <w:rPr>
          <w:rFonts w:ascii="Times New Roman" w:hAnsi="Times New Roman"/>
          <w:color w:val="000000"/>
          <w:sz w:val="24"/>
          <w:u w:val="single"/>
        </w:rPr>
        <w:t>Aggregate Unpaids</w:t>
      </w:r>
      <w:r>
        <w:rPr>
          <w:rFonts w:ascii="Times New Roman" w:hAnsi="Times New Roman"/>
          <w:color w:val="000000"/>
          <w:sz w:val="20"/>
        </w:rPr>
        <w:t xml:space="preserve">” </w:t>
      </w:r>
      <w:r>
        <w:rPr>
          <w:rFonts w:ascii="Times New Roman" w:hAnsi="Times New Roman"/>
          <w:color w:val="000000"/>
          <w:sz w:val="24"/>
        </w:rPr>
        <w:t>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greatest of (i) [***], (ii) the NYFRB Rate in effect on such day plus [***]% and (iii) the applicable Term SOFR Reference Rate on the Reference Date with respect to such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 Any change in the Alternate Base Rate due to a change in the Prime Rate, the NYFRB Rate or the applicable Term SOFR Reference Rate shall be effective from and including the effective date of such change in the Prime Rate, the NYFRB Rate or the Term SOFR Reference Rate, respectively. If the Alternate Base Rate is being used as an alternate rate of interest pursuant to Section 2.11 (for the avoidance of doubt, only until the earlier to occur of (a) any amendment relating to the Alternate Base Rate becoming effective pursuant to Section 14.01 and (b) the occurrence of a Benchmark Transition Date with respect to the then-applicable Benchmark), then the Alternate Base Rate shall be the greater of the rate determined pursuant to clauses (i) and (ii) above and shall be determined without reference to clause (iii) above;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Alternate Base Rate as so determined would be less than the Floor, such Alternate Base Rate will be deemed to be the Floor for the purposes of this Agreement and the other Basic Documents.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Alternate Base Rate Loan</w:t>
      </w:r>
      <w:r>
        <w:rPr>
          <w:rFonts w:ascii="Times New Roman" w:hAnsi="Times New Roman"/>
          <w:color w:val="000000"/>
          <w:sz w:val="20"/>
        </w:rPr>
        <w:t xml:space="preserve">” </w:t>
      </w:r>
      <w:r>
        <w:rPr>
          <w:rFonts w:ascii="Times New Roman" w:hAnsi="Times New Roman"/>
          <w:color w:val="000000"/>
          <w:sz w:val="24"/>
        </w:rPr>
        <w:t>means a Loan that bears interest based on the Alternate Base Rate.</w:t>
      </w:r>
    </w:p>
    <w:p>
      <w:pPr>
        <w:pStyle w:val="TextBody"/>
        <w:bidi w:val="0"/>
        <w:spacing w:before="0" w:after="240"/>
        <w:jc w:val="both"/>
        <w:rPr/>
      </w:pPr>
      <w:r>
        <w:rPr>
          <w:color w:val="000000"/>
        </w:rPr>
        <w:t>“</w:t>
      </w:r>
      <w:r>
        <w:rPr>
          <w:rFonts w:ascii="Times New Roman" w:hAnsi="Times New Roman"/>
          <w:color w:val="000000"/>
          <w:sz w:val="24"/>
          <w:u w:val="single"/>
        </w:rPr>
        <w:t>AML Law</w:t>
      </w:r>
      <w:r>
        <w:rPr>
          <w:rFonts w:ascii="Times New Roman" w:hAnsi="Times New Roman"/>
          <w:color w:val="000000"/>
          <w:sz w:val="20"/>
        </w:rPr>
        <w:t xml:space="preserve">” </w:t>
      </w:r>
      <w:r>
        <w:rPr>
          <w:rFonts w:ascii="Times New Roman" w:hAnsi="Times New Roman"/>
          <w:color w:val="000000"/>
          <w:sz w:val="24"/>
        </w:rPr>
        <w:t>has the meaning given to such term in Section 14.12.</w:t>
      </w:r>
    </w:p>
    <w:p>
      <w:pPr>
        <w:pStyle w:val="TextBody"/>
        <w:bidi w:val="0"/>
        <w:spacing w:before="0" w:after="240"/>
        <w:jc w:val="both"/>
        <w:rPr/>
      </w:pPr>
      <w:r>
        <w:rPr>
          <w:color w:val="000000"/>
        </w:rPr>
        <w:t>“</w:t>
      </w:r>
      <w:r>
        <w:rPr>
          <w:rFonts w:ascii="Times New Roman" w:hAnsi="Times New Roman"/>
          <w:color w:val="000000"/>
          <w:sz w:val="24"/>
          <w:u w:val="single"/>
        </w:rPr>
        <w:t>Amortization Period</w:t>
      </w:r>
      <w:r>
        <w:rPr>
          <w:rFonts w:ascii="Times New Roman" w:hAnsi="Times New Roman"/>
          <w:color w:val="000000"/>
          <w:sz w:val="20"/>
        </w:rPr>
        <w:t xml:space="preserve">” </w:t>
      </w:r>
      <w:r>
        <w:rPr>
          <w:rFonts w:ascii="Times New Roman" w:hAnsi="Times New Roman"/>
          <w:color w:val="000000"/>
          <w:sz w:val="24"/>
        </w:rPr>
        <w:t>means the period commencing on the earlier to occur of (i) the Commitment Termination Date and (ii) the Termination Date, and ending on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Amount Financed</w:t>
      </w:r>
      <w:r>
        <w:rPr>
          <w:rFonts w:ascii="Times New Roman" w:hAnsi="Times New Roman"/>
          <w:color w:val="000000"/>
          <w:sz w:val="20"/>
        </w:rPr>
        <w:t xml:space="preserve">” </w:t>
      </w:r>
      <w:r>
        <w:rPr>
          <w:rFonts w:ascii="Times New Roman" w:hAnsi="Times New Roman"/>
          <w:color w:val="000000"/>
          <w:sz w:val="24"/>
        </w:rPr>
        <w:t>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pStyle w:val="TextBody"/>
        <w:bidi w:val="0"/>
        <w:spacing w:before="0" w:after="240"/>
        <w:jc w:val="both"/>
        <w:rPr/>
      </w:pPr>
      <w:r>
        <w:rPr>
          <w:color w:val="000000"/>
        </w:rPr>
        <w:t>“</w:t>
      </w:r>
      <w:r>
        <w:rPr>
          <w:rFonts w:ascii="Times New Roman" w:hAnsi="Times New Roman"/>
          <w:color w:val="000000"/>
          <w:sz w:val="24"/>
          <w:u w:val="single"/>
        </w:rPr>
        <w:t>Annual Percentage Rate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APR</w:t>
      </w:r>
      <w:r>
        <w:rPr>
          <w:rFonts w:ascii="Times New Roman" w:hAnsi="Times New Roman"/>
          <w:color w:val="000000"/>
          <w:sz w:val="20"/>
        </w:rPr>
        <w:t xml:space="preserve">” </w:t>
      </w:r>
      <w:r>
        <w:rPr>
          <w:rFonts w:ascii="Times New Roman" w:hAnsi="Times New Roman"/>
          <w:color w:val="000000"/>
          <w:sz w:val="24"/>
        </w:rPr>
        <w:t>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or any other Applicable Law, “Annual Percentage Rate” or “APR” shall refer to such reduced rate.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Annualized Default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Principal Balance of all Receivables that became Defaulted Receivables during such Collection Period and (b) the denominator of which equals the aggregate Principal Balance of all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Annualized Net Loss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Net Losses for such Collection Period and (b) the denominator of which equals the aggregate Principal Balance of all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pStyle w:val="TextBody"/>
        <w:bidi w:val="0"/>
        <w:spacing w:before="0" w:after="240"/>
        <w:jc w:val="both"/>
        <w:rPr/>
      </w:pPr>
      <w:r>
        <w:rPr>
          <w:color w:val="000000"/>
        </w:rPr>
        <w:t>“</w:t>
      </w:r>
      <w:r>
        <w:rPr>
          <w:rFonts w:ascii="Times New Roman" w:hAnsi="Times New Roman"/>
          <w:color w:val="000000"/>
          <w:sz w:val="24"/>
          <w:u w:val="single"/>
        </w:rPr>
        <w:t>Applicable Margin</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Assignment and Acceptance</w:t>
      </w:r>
      <w:r>
        <w:rPr>
          <w:rFonts w:ascii="Times New Roman" w:hAnsi="Times New Roman"/>
          <w:color w:val="000000"/>
          <w:sz w:val="20"/>
        </w:rPr>
        <w:t xml:space="preserve">” </w:t>
      </w:r>
      <w:r>
        <w:rPr>
          <w:rFonts w:ascii="Times New Roman" w:hAnsi="Times New Roman"/>
          <w:color w:val="000000"/>
          <w:sz w:val="24"/>
        </w:rPr>
        <w:t>means an assignment and acceptance agreement between a Lender and an Eligible Assignee, in substantially the form of Exhibit C hereto.</w:t>
      </w:r>
    </w:p>
    <w:p>
      <w:pPr>
        <w:pStyle w:val="TextBody"/>
        <w:bidi w:val="0"/>
        <w:spacing w:before="0" w:after="240"/>
        <w:jc w:val="both"/>
        <w:rPr/>
      </w:pPr>
      <w:r>
        <w:rPr>
          <w:color w:val="000000"/>
        </w:rPr>
        <w:t>“</w:t>
      </w:r>
      <w:r>
        <w:rPr>
          <w:rFonts w:ascii="Times New Roman" w:hAnsi="Times New Roman"/>
          <w:color w:val="000000"/>
          <w:sz w:val="24"/>
          <w:u w:val="single"/>
        </w:rPr>
        <w:t>Authoritative Copy</w:t>
      </w:r>
      <w:r>
        <w:rPr>
          <w:rFonts w:ascii="Times New Roman" w:hAnsi="Times New Roman"/>
          <w:color w:val="000000"/>
          <w:sz w:val="20"/>
        </w:rPr>
        <w:t xml:space="preserve">” </w:t>
      </w:r>
      <w:r>
        <w:rPr>
          <w:rFonts w:ascii="Times New Roman" w:hAnsi="Times New Roman"/>
          <w:color w:val="000000"/>
          <w:sz w:val="24"/>
        </w:rPr>
        <w:t>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pStyle w:val="TextBody"/>
        <w:bidi w:val="0"/>
        <w:spacing w:before="0" w:after="240"/>
        <w:jc w:val="both"/>
        <w:rPr/>
      </w:pPr>
      <w:r>
        <w:rPr>
          <w:color w:val="000000"/>
        </w:rPr>
        <w:t>“</w:t>
      </w:r>
      <w:r>
        <w:rPr>
          <w:rFonts w:ascii="Times New Roman" w:hAnsi="Times New Roman"/>
          <w:color w:val="000000"/>
          <w:sz w:val="24"/>
          <w:u w:val="single"/>
        </w:rPr>
        <w:t>Authorized Officer</w:t>
      </w:r>
      <w:r>
        <w:rPr>
          <w:rFonts w:ascii="Times New Roman" w:hAnsi="Times New Roman"/>
          <w:color w:val="000000"/>
          <w:sz w:val="20"/>
        </w:rPr>
        <w:t xml:space="preserve">” </w:t>
      </w:r>
      <w:r>
        <w:rPr>
          <w:rFonts w:ascii="Times New Roman" w:hAnsi="Times New Roman"/>
          <w:color w:val="000000"/>
          <w:sz w:val="24"/>
        </w:rPr>
        <w:t>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pStyle w:val="TextBody"/>
        <w:bidi w:val="0"/>
        <w:spacing w:before="0" w:after="240"/>
        <w:jc w:val="both"/>
        <w:rPr/>
      </w:pPr>
      <w:r>
        <w:rPr>
          <w:color w:val="000000"/>
        </w:rPr>
        <w:t>“</w:t>
      </w:r>
      <w:r>
        <w:rPr>
          <w:rFonts w:ascii="Times New Roman" w:hAnsi="Times New Roman"/>
          <w:color w:val="000000"/>
          <w:sz w:val="24"/>
          <w:u w:val="single"/>
        </w:rPr>
        <w:t>Authorized Representative</w:t>
      </w:r>
      <w:r>
        <w:rPr>
          <w:rFonts w:ascii="Times New Roman" w:hAnsi="Times New Roman"/>
          <w:color w:val="000000"/>
          <w:sz w:val="20"/>
        </w:rPr>
        <w:t xml:space="preserve">” </w:t>
      </w:r>
      <w:r>
        <w:rPr>
          <w:rFonts w:ascii="Times New Roman" w:hAnsi="Times New Roman"/>
          <w:color w:val="000000"/>
          <w:sz w:val="24"/>
        </w:rPr>
        <w:t>means, with respect to the Borrower, the president or any executive vice president of UACC, as attorney-in-fact for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Available Amount</w:t>
      </w:r>
      <w:r>
        <w:rPr>
          <w:rFonts w:ascii="Times New Roman" w:hAnsi="Times New Roman"/>
          <w:color w:val="000000"/>
          <w:sz w:val="20"/>
        </w:rPr>
        <w:t xml:space="preserve">” </w:t>
      </w:r>
      <w:r>
        <w:rPr>
          <w:rFonts w:ascii="Times New Roman" w:hAnsi="Times New Roman"/>
          <w:color w:val="000000"/>
          <w:sz w:val="24"/>
        </w:rPr>
        <w:t>means, as of any day, the positive amount, if any, by which the Facility Amount exceeds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Available Funds</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sum of (i) Collections on deposit in the Collection Account, to the extent received during or in respect of the related Collection Period, (ii) any Reserve Account Withdrawal Amount, (iii) any Monthly Accrued Interest Payment Amount made by UACC pursuant to Section 6.04(o) and (iv) investments earnings pursuant to Section 2.11(f) in excess of the Reserve Account Required Amount described in Section 2.11(f).</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Available Funds Shortfall</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positive excess, if any, of (i) the amount necessary to make all distributions required to be made pursuant to clauses (i) through (v) of Section 2.08 over (ii) Available Funds (without taking into account any Reserve Account Withdrawal Amount).</w:t>
      </w:r>
    </w:p>
    <w:p>
      <w:pPr>
        <w:pStyle w:val="TextBody"/>
        <w:bidi w:val="0"/>
        <w:spacing w:before="0" w:after="240"/>
        <w:jc w:val="both"/>
        <w:rPr/>
      </w:pPr>
      <w:r>
        <w:rPr>
          <w:color w:val="000000"/>
        </w:rPr>
        <w:t>“</w:t>
      </w:r>
      <w:r>
        <w:rPr>
          <w:rFonts w:ascii="Times New Roman" w:hAnsi="Times New Roman"/>
          <w:color w:val="000000"/>
          <w:sz w:val="24"/>
          <w:u w:val="single"/>
        </w:rPr>
        <w:t>Available Liquidity</w:t>
      </w:r>
      <w:r>
        <w:rPr>
          <w:rFonts w:ascii="Times New Roman" w:hAnsi="Times New Roman"/>
          <w:color w:val="000000"/>
          <w:sz w:val="20"/>
        </w:rPr>
        <w:t xml:space="preserve">” </w:t>
      </w:r>
      <w:r>
        <w:rPr>
          <w:rFonts w:ascii="Times New Roman" w:hAnsi="Times New Roman"/>
          <w:color w:val="000000"/>
          <w:sz w:val="24"/>
        </w:rPr>
        <w:t>means, as of any date of determination, the sum of (i) unrestricted cash and Cash Equivalents of the Parent and (ii) undrawn committed availability under the Mudrick Capital Facility, in each case, to the extent not subject to any Lien or other restriction.</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2.18(d).</w:t>
      </w:r>
    </w:p>
    <w:p>
      <w:pPr>
        <w:pStyle w:val="TextBody"/>
        <w:bidi w:val="0"/>
        <w:spacing w:before="0" w:after="240"/>
        <w:jc w:val="both"/>
        <w:rPr/>
      </w:pPr>
      <w:r>
        <w:rPr>
          <w:color w:val="000000"/>
        </w:rPr>
        <w:t>“</w:t>
      </w:r>
      <w:r>
        <w:rPr>
          <w:rFonts w:ascii="Times New Roman" w:hAnsi="Times New Roman"/>
          <w:color w:val="000000"/>
          <w:sz w:val="24"/>
          <w:u w:val="single"/>
        </w:rPr>
        <w:t>Backup 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Backup 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8.04.</w:t>
      </w:r>
    </w:p>
    <w:p>
      <w:pPr>
        <w:pStyle w:val="TextBody"/>
        <w:bidi w:val="0"/>
        <w:spacing w:before="0" w:after="240"/>
        <w:jc w:val="both"/>
        <w:rPr/>
      </w:pPr>
      <w:r>
        <w:rPr>
          <w:color w:val="000000"/>
        </w:rPr>
        <w:t>“</w:t>
      </w:r>
      <w:r>
        <w:rPr>
          <w:rFonts w:ascii="Times New Roman" w:hAnsi="Times New Roman"/>
          <w:color w:val="000000"/>
          <w:sz w:val="24"/>
          <w:u w:val="single"/>
        </w:rPr>
        <w:t>Backup Servicing Fee</w:t>
      </w:r>
      <w:r>
        <w:rPr>
          <w:rFonts w:ascii="Times New Roman" w:hAnsi="Times New Roman"/>
          <w:color w:val="000000"/>
          <w:sz w:val="20"/>
        </w:rPr>
        <w:t xml:space="preserve">” </w:t>
      </w:r>
      <w:r>
        <w:rPr>
          <w:rFonts w:ascii="Times New Roman" w:hAnsi="Times New Roman"/>
          <w:color w:val="000000"/>
          <w:sz w:val="24"/>
        </w:rPr>
        <w:t>means the fee payable to the Backup Servicer on each Payment Date in accordance with Section 2.12(b) in an amount equal to $[***] per month.</w:t>
      </w:r>
    </w:p>
    <w:p>
      <w:pPr>
        <w:pStyle w:val="TextBody"/>
        <w:bidi w:val="0"/>
        <w:spacing w:before="0" w:after="240"/>
        <w:jc w:val="both"/>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the United States Bankruptcy Code (Title 11 of the United States Code).</w:t>
      </w:r>
    </w:p>
    <w:p>
      <w:pPr>
        <w:pStyle w:val="TextBody"/>
        <w:bidi w:val="0"/>
        <w:spacing w:before="0" w:after="240"/>
        <w:jc w:val="both"/>
        <w:rPr/>
      </w:pPr>
      <w:r>
        <w:rPr>
          <w:color w:val="000000"/>
        </w:rPr>
        <w:t>“</w:t>
      </w:r>
      <w:r>
        <w:rPr>
          <w:rFonts w:ascii="Times New Roman" w:hAnsi="Times New Roman"/>
          <w:color w:val="000000"/>
          <w:sz w:val="24"/>
          <w:u w:val="single"/>
        </w:rPr>
        <w:t>Basel II</w:t>
      </w:r>
      <w:r>
        <w:rPr>
          <w:rFonts w:ascii="Times New Roman" w:hAnsi="Times New Roman"/>
          <w:color w:val="000000"/>
          <w:sz w:val="20"/>
        </w:rPr>
        <w:t xml:space="preserve">” </w:t>
      </w:r>
      <w:r>
        <w:rPr>
          <w:rFonts w:ascii="Times New Roman" w:hAnsi="Times New Roman"/>
          <w:color w:val="000000"/>
          <w:sz w:val="24"/>
        </w:rPr>
        <w:t>means the second Basel Accord issued by the Basel Committee on Banking Supervision.</w:t>
      </w:r>
    </w:p>
    <w:p>
      <w:pPr>
        <w:pStyle w:val="TextBody"/>
        <w:bidi w:val="0"/>
        <w:spacing w:before="0" w:after="240"/>
        <w:jc w:val="both"/>
        <w:rPr/>
      </w:pPr>
      <w:r>
        <w:rPr>
          <w:color w:val="000000"/>
        </w:rPr>
        <w:t>“</w:t>
      </w:r>
      <w:r>
        <w:rPr>
          <w:rFonts w:ascii="Times New Roman" w:hAnsi="Times New Roman"/>
          <w:color w:val="000000"/>
          <w:sz w:val="24"/>
          <w:u w:val="single"/>
        </w:rPr>
        <w:t>Basel III</w:t>
      </w:r>
      <w:r>
        <w:rPr>
          <w:rFonts w:ascii="Times New Roman" w:hAnsi="Times New Roman"/>
          <w:color w:val="000000"/>
          <w:sz w:val="20"/>
        </w:rPr>
        <w:t xml:space="preserve">” </w:t>
      </w:r>
      <w:r>
        <w:rPr>
          <w:rFonts w:ascii="Times New Roman" w:hAnsi="Times New Roman"/>
          <w:color w:val="000000"/>
          <w:sz w:val="24"/>
        </w:rPr>
        <w:t>means the third Basel Accord issued by the Basel Committee on Banking Supervision.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Basic Documents</w:t>
      </w:r>
      <w:r>
        <w:rPr>
          <w:rFonts w:ascii="Times New Roman" w:hAnsi="Times New Roman"/>
          <w:color w:val="000000"/>
          <w:sz w:val="20"/>
        </w:rPr>
        <w:t xml:space="preserve">” </w:t>
      </w:r>
      <w:r>
        <w:rPr>
          <w:rFonts w:ascii="Times New Roman" w:hAnsi="Times New Roman"/>
          <w:color w:val="000000"/>
          <w:sz w:val="24"/>
        </w:rPr>
        <w:t>means this Agreement, each Note, the Purchase Agreement, each Transfer Agreement, the Fee Letter, the Intercreditor Agreement, the Intercreditor Party Supplement, the Trust Agreement, the Account Control Agreement, the ICA Account Control Agreement, the E-Vault Access Agreement (if any), the Electronic Collateral Control Agreement (if any), the Title Administrator Agreement (if any), all Hedging Agreements and any other document, certificate, opinion, agreement or writing the execution of which is necessary or incidental to carrying out the transactions contemplated by this Agreement or any of the other foregoing documents.</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2.18(a).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 xml:space="preserve">means with respect to any Benchmark Transition Event, the sum of: (i) the alternate benchmark rate that has been selected by the Administrative Agent and the Borrower as the replacement for the then-current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U.S. dollar-denominated syndicated credit facilities at such time in the United States and (ii) the related Benchmark Replacement Adjustment;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Benchmark Replacement as so determined would be less than the Floor, such Benchmark Replacement will be deemed to be the Floor for the purposes of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pStyle w:val="TextBody"/>
        <w:bidi w:val="0"/>
        <w:spacing w:before="0" w:after="2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the earliest to occur of the following events with respect to the then-current Benchmark: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clause (i) or (ii) of the definition of “Benchmark Transition Event”, the later of the date (a) of the public statement or publication of information referenced therein and (b)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clause (iii)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 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(iii) and even if any Available Tenor of such Benchmark (or such component thereof) continues to be provided on such date.</w:t>
      </w:r>
    </w:p>
    <w:p>
      <w:pPr>
        <w:pStyle w:val="TextBody"/>
        <w:bidi w:val="0"/>
        <w:spacing w:before="0" w:after="240"/>
        <w:jc w:val="both"/>
        <w:rPr>
          <w:rFonts w:ascii="Times New Roman" w:hAnsi="Times New Roman"/>
          <w:sz w:val="20"/>
        </w:rPr>
      </w:pPr>
      <w:r>
        <w:rPr>
          <w:rFonts w:ascii="Times New Roman" w:hAnsi="Times New Roman"/>
          <w:color w:val="000000"/>
          <w:sz w:val="24"/>
        </w:rPr>
        <w:t>For the avoidance of doubt, the “Benchmark Replacement Date” will be deemed to have occurred in the case of clause (i) or (ii) with respect to any Benchmark upon the occurrence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Start Date</w:t>
      </w:r>
      <w:r>
        <w:rPr>
          <w:rFonts w:ascii="Times New Roman" w:hAnsi="Times New Roman"/>
          <w:color w:val="000000"/>
          <w:sz w:val="20"/>
        </w:rPr>
        <w:t xml:space="preserve">” </w:t>
      </w:r>
      <w:r>
        <w:rPr>
          <w:rFonts w:ascii="Times New Roman" w:hAnsi="Times New Roman"/>
          <w:color w:val="000000"/>
          <w:sz w:val="24"/>
        </w:rPr>
        <w:t>means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 days after such statement or publication, the date of such statement or publication).</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the period (if any) (a) beginning at the time that a Benchmark Replacement Date has occurred if, at such time, no Benchmark Replacement has replaced the then-current Benchmark for all purposes hereunder and under any Loan Document in accordance with Section 2.18 and (b) ending at the time that a Benchmark Replacement has replaced the then-current Benchmark for all purposes hereunder and under any Loan Document in accordance with Section 2.18.</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Borrower Basic Documents</w:t>
      </w:r>
      <w:r>
        <w:rPr>
          <w:rFonts w:ascii="Times New Roman" w:hAnsi="Times New Roman"/>
          <w:color w:val="000000"/>
          <w:sz w:val="20"/>
        </w:rPr>
        <w:t xml:space="preserve">” </w:t>
      </w:r>
      <w:r>
        <w:rPr>
          <w:rFonts w:ascii="Times New Roman" w:hAnsi="Times New Roman"/>
          <w:color w:val="000000"/>
          <w:sz w:val="24"/>
        </w:rPr>
        <w:t>means all Basic Documents to which the Borrower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Borrower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10.01(a).</w:t>
      </w:r>
    </w:p>
    <w:p>
      <w:pPr>
        <w:pStyle w:val="TextBody"/>
        <w:bidi w:val="0"/>
        <w:spacing w:before="0" w:after="240"/>
        <w:jc w:val="both"/>
        <w:rPr/>
      </w:pPr>
      <w:r>
        <w:rPr>
          <w:color w:val="000000"/>
        </w:rPr>
        <w:t>“</w:t>
      </w:r>
      <w:r>
        <w:rPr>
          <w:rFonts w:ascii="Times New Roman" w:hAnsi="Times New Roman"/>
          <w:color w:val="000000"/>
          <w:sz w:val="24"/>
          <w:u w:val="single"/>
        </w:rPr>
        <w:t>Borrower’s Account</w:t>
      </w:r>
      <w:r>
        <w:rPr>
          <w:rFonts w:ascii="Times New Roman" w:hAnsi="Times New Roman"/>
          <w:color w:val="000000"/>
          <w:sz w:val="20"/>
        </w:rPr>
        <w:t xml:space="preserve">” </w:t>
      </w:r>
      <w:r>
        <w:rPr>
          <w:rFonts w:ascii="Times New Roman" w:hAnsi="Times New Roman"/>
          <w:color w:val="000000"/>
          <w:sz w:val="24"/>
        </w:rPr>
        <w:t>means the bank account of the Borrower, as notified to the Administrative Agent from time to time in writing by the Borrower, into which all Principal Amounts shall be deposited, which account, as of the Closing Date, is in the name UACC Auto Financing Trust V, at the Local Bank.</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means, as of any day, an amount equal to the lesser of (i) the product of the applicable Advance Rate and the Aggregate Net Principal Balance, and (ii) the Aggregate Commitment.</w:t>
      </w:r>
    </w:p>
    <w:p>
      <w:pPr>
        <w:pStyle w:val="TextBody"/>
        <w:bidi w:val="0"/>
        <w:spacing w:before="0" w:after="2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 xml:space="preserve">means the circumstance in which the Loans Outstanding exceed the Borrowing Base;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that</w:t>
      </w:r>
      <w:r>
        <w:rPr>
          <w:rFonts w:ascii="Times New Roman" w:hAnsi="Times New Roman"/>
          <w:color w:val="000000"/>
          <w:sz w:val="20"/>
        </w:rPr>
        <w:t xml:space="preserve"> </w:t>
      </w:r>
      <w:r>
        <w:rPr>
          <w:rFonts w:ascii="Times New Roman" w:hAnsi="Times New Roman"/>
          <w:color w:val="000000"/>
          <w:sz w:val="24"/>
        </w:rPr>
        <w:t xml:space="preserve">(a) a Borrowing Base Deficiency identified in a Monthly Report that is fully cured following the Settlement Procedures specified in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shall not constitute a Borrowing Base Deficiency as referenced in </w:t>
      </w:r>
      <w:r>
        <w:rPr>
          <w:rFonts w:ascii="Times New Roman" w:hAnsi="Times New Roman"/>
          <w:color w:val="000000"/>
          <w:sz w:val="24"/>
          <w:u w:val="single"/>
        </w:rPr>
        <w:t>Section 9.01(a)(xxi)</w:t>
      </w:r>
      <w:r>
        <w:rPr>
          <w:rFonts w:ascii="Times New Roman" w:hAnsi="Times New Roman"/>
          <w:color w:val="000000"/>
          <w:sz w:val="24"/>
        </w:rPr>
        <w:t xml:space="preserve">, and (b) a Borrowing Base Deficiency identified as of the Restatement Closing Date and is cured on or before September 12, 2025 shall not constitute a Borrowing Base Deficiency as referenced in </w:t>
      </w:r>
      <w:r>
        <w:rPr>
          <w:rFonts w:ascii="Times New Roman" w:hAnsi="Times New Roman"/>
          <w:color w:val="000000"/>
          <w:sz w:val="24"/>
          <w:u w:val="single"/>
        </w:rPr>
        <w:t>Section 9.01(a)(xxi)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Breakage Costs</w:t>
      </w:r>
      <w:r>
        <w:rPr>
          <w:rFonts w:ascii="Times New Roman" w:hAnsi="Times New Roman"/>
          <w:color w:val="000000"/>
          <w:sz w:val="20"/>
        </w:rPr>
        <w:t xml:space="preserve">” </w:t>
      </w:r>
      <w:r>
        <w:rPr>
          <w:rFonts w:ascii="Times New Roman" w:hAnsi="Times New Roman"/>
          <w:color w:val="000000"/>
          <w:sz w:val="24"/>
        </w:rPr>
        <w:t>means such amount or amounts as shall compensate any Lender for any loss, cost or expense (but excluding lost profits) incurred by such Lender (as reasonably determined by such Lender) as a result of any prepayment of a Loan (and interest thereon).</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(i) any day other than a Saturday or a Sunday on which commercial banking institutions are not required or authorized to be closed in Los Angeles, California, New York, New York, Chicago, Illinois, Wilmington, Delaware or Minneapolis, Minnesota and (ii) if the term “Business Day” is used in connection with the Term SOFR Reference Rate, such day must also be a U.S. Government Securities Business Day.</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 xml:space="preserve">means (a) securities with maturities of [***] days or less from the date of acquisition issued or fully guaranteed or insured by the United States Government or any agency thereof, (b) certificates of deposit and SOFR time deposits with maturities of [***] days or less from the date of acquisition and overnight bank deposits of any commercial bank having capital and surplus in excess of $[***], (c) repurchase obligations of any commercial bank satisfying the requirements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definition, having a term of not more than [***]days with respect to securities issued or fully guaranteed or insured by the United States Government, (d) commercial paper of a domestic issuer rated at least A-1 or the equivalent thereof by Standard &amp; Poor’s Rating Services, a Standard &amp; Poor’s Financial Services LLC business (“S&amp;P”) or P-1 or the equivalent thereof by Moody’s Investors Service, Inc. (“Moody’s”) and in either case maturing within [***] days after the day of acquisition, (e) securities with maturities of [***]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(f) securities with maturities of [***] days or less from the date of acquisition backed by standby letters of credit issued by any commercial bank satisfying the requirements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definition, (g) shares of money market mutual or similar funds which invest exclusively in assets satisfying the requirements of </w:t>
      </w:r>
      <w:r>
        <w:rPr>
          <w:rFonts w:ascii="Times New Roman" w:hAnsi="Times New Roman"/>
          <w:color w:val="000000"/>
          <w:sz w:val="24"/>
          <w:u w:val="single"/>
        </w:rPr>
        <w:t>clauses (a) through (f)</w:t>
      </w:r>
      <w:r>
        <w:rPr>
          <w:rFonts w:ascii="Times New Roman" w:hAnsi="Times New Roman"/>
          <w:color w:val="000000"/>
          <w:sz w:val="20"/>
        </w:rPr>
        <w:t xml:space="preserve"> </w:t>
      </w:r>
      <w:r>
        <w:rPr>
          <w:rFonts w:ascii="Times New Roman" w:hAnsi="Times New Roman"/>
          <w:color w:val="000000"/>
          <w:sz w:val="24"/>
        </w:rPr>
        <w:t>of this definition, (h) investments in money market or common trust funds having a rating from each of Moody’s and S&amp;P in the highest investment category for short-term unsecured debt obligations or certificates of deposit granted thereby, or (i) undrawn commitments under other credit facilities of UACC or its consolidated subsidiaries (including the Other Warehouse Agreements) for which UACC or any such subsidiary can meet all conditions precedent to borrowing such amounts and for which the use of such amounts is unrestricted under such credit facilities.</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Certificate of Title</w:t>
      </w:r>
      <w:r>
        <w:rPr>
          <w:rFonts w:ascii="Times New Roman" w:hAnsi="Times New Roman"/>
          <w:color w:val="000000"/>
          <w:sz w:val="20"/>
        </w:rPr>
        <w:t xml:space="preserve">” </w:t>
      </w:r>
      <w:r>
        <w:rPr>
          <w:rFonts w:ascii="Times New Roman" w:hAnsi="Times New Roman"/>
          <w:color w:val="000000"/>
          <w:sz w:val="24"/>
        </w:rPr>
        <w:t>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pStyle w:val="TextBody"/>
        <w:bidi w:val="0"/>
        <w:spacing w:before="0" w:after="240"/>
        <w:jc w:val="both"/>
        <w:rPr/>
      </w:pPr>
      <w:r>
        <w:rPr>
          <w:color w:val="000000"/>
        </w:rPr>
        <w:t>“</w:t>
      </w:r>
      <w:r>
        <w:rPr>
          <w:rFonts w:ascii="Times New Roman" w:hAnsi="Times New Roman"/>
          <w:color w:val="000000"/>
          <w:sz w:val="24"/>
          <w:u w:val="single"/>
        </w:rPr>
        <w:t>Certificate Registrar</w:t>
      </w:r>
      <w:r>
        <w:rPr>
          <w:rFonts w:ascii="Times New Roman" w:hAnsi="Times New Roman"/>
          <w:color w:val="000000"/>
          <w:sz w:val="20"/>
        </w:rPr>
        <w:t xml:space="preserve">” </w:t>
      </w:r>
      <w:r>
        <w:rPr>
          <w:rFonts w:ascii="Times New Roman" w:hAnsi="Times New Roman"/>
          <w:color w:val="000000"/>
          <w:sz w:val="24"/>
        </w:rPr>
        <w:t>has the meaning given to such term in the Trust Agreement.</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failure (i) of Vroom, Inc. to own (directly or through wholly owned subsidiaries or other entities), free and clear of Liens, at least 51% of the outstanding voting interests of UACC, except in the event of an initial public offering of equity securities of UACC, or (ii) by UACC to own, directly or indirectly, all of the outstanding beneficial interests of the Borrower, or (B) any transaction or event as a result of which any Person or Persons who were not equity holders of Vroom, Inc. immediately prior to such transaction or event owns, directly or indirectly, more than 50% of the total voting power of the issued and outstanding voting stock of Vroom, Inc. (provided that a change in equity holders in connection with which the Controlling Person of both transferor and transferee stockholders is the same Person shall not be deemed a change in equity holders for purposes of this clause (B)).</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0"/>
        </w:rPr>
        <w:t xml:space="preserve">” </w:t>
      </w:r>
      <w:r>
        <w:rPr>
          <w:rFonts w:ascii="Times New Roman" w:hAnsi="Times New Roman"/>
          <w:color w:val="000000"/>
          <w:sz w:val="24"/>
        </w:rPr>
        <w:t>means any Receivable or Serviced Portfolio Receivable required to be charged off in accordance with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July 11, 2019.</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given to such term in Section 3.01(a).</w:t>
      </w:r>
    </w:p>
    <w:p>
      <w:pPr>
        <w:pStyle w:val="TextBody"/>
        <w:bidi w:val="0"/>
        <w:spacing w:before="0" w:after="240"/>
        <w:jc w:val="both"/>
        <w:rPr/>
      </w:pPr>
      <w:r>
        <w:rPr>
          <w:color w:val="000000"/>
        </w:rPr>
        <w:t>“</w:t>
      </w:r>
      <w:r>
        <w:rPr>
          <w:rFonts w:ascii="Times New Roman" w:hAnsi="Times New Roman"/>
          <w:color w:val="000000"/>
          <w:sz w:val="24"/>
          <w:u w:val="single"/>
        </w:rPr>
        <w:t>Collateral Coverage Ratio</w:t>
      </w:r>
      <w:r>
        <w:rPr>
          <w:rFonts w:ascii="Times New Roman" w:hAnsi="Times New Roman"/>
          <w:color w:val="000000"/>
          <w:sz w:val="20"/>
        </w:rPr>
        <w:t xml:space="preserve">” </w:t>
      </w:r>
      <w:r>
        <w:rPr>
          <w:rFonts w:ascii="Times New Roman" w:hAnsi="Times New Roman"/>
          <w:color w:val="000000"/>
          <w:sz w:val="24"/>
        </w:rPr>
        <w:t>means, as of any day, the percentage equivalent of a fraction, the numerator of which equals all Loans Outstanding as of the last day of the most recent Collection Period minus any amounts to be distributed pursuant to Section 2.08(v) or Section 2.08(vi) on the related Payment Date and the denominator of which equals the Aggregate Net Principal Balance as of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0"/>
        </w:rPr>
        <w:t xml:space="preserve">” </w:t>
      </w:r>
      <w:r>
        <w:rPr>
          <w:rFonts w:ascii="Times New Roman" w:hAnsi="Times New Roman"/>
          <w:color w:val="000000"/>
          <w:sz w:val="24"/>
        </w:rPr>
        <w:t>means a segregated account established by the Servicer with the Account Bank, in the name of the Borrower, for the benefit of the Secured Parties, into which all Collections shall be deposited.</w:t>
      </w:r>
    </w:p>
    <w:p>
      <w:pPr>
        <w:pStyle w:val="TextBody"/>
        <w:bidi w:val="0"/>
        <w:spacing w:before="0" w:after="240"/>
        <w:jc w:val="both"/>
        <w:rPr/>
      </w:pPr>
      <w:r>
        <w:rPr>
          <w:color w:val="000000"/>
        </w:rPr>
        <w:t>“</w:t>
      </w:r>
      <w:r>
        <w:rPr>
          <w:rFonts w:ascii="Times New Roman" w:hAnsi="Times New Roman"/>
          <w:color w:val="000000"/>
          <w:sz w:val="24"/>
          <w:u w:val="single"/>
        </w:rPr>
        <w:t>Collection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calendar month, except for the first Payment Date, in which case such term means the period beginning on the initial Cutoff Date to and including the last day of July 2019.</w:t>
      </w:r>
    </w:p>
    <w:p>
      <w:pPr>
        <w:pStyle w:val="TextBody"/>
        <w:bidi w:val="0"/>
        <w:spacing w:before="0" w:after="240"/>
        <w:jc w:val="both"/>
        <w:rPr/>
      </w:pPr>
      <w:r>
        <w:rPr>
          <w:color w:val="000000"/>
        </w:rPr>
        <w:t>“</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means, with respect to any Collection Period and the related Payment Date, (i) all cash collections or other cash proceeds of any Receivable received by the Borrower, the Servicer and the Backup Servicer in its capacity as Successor Servicer (including from the Originator or the Borrower)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(iii) all payments received by or on behalf of the Borrower pursuant to any Hedging Agreement or Hedge Transaction and (iv) all amounts received by the Borrower or the Servicer as proceeds of Collateral sold pursuant to Section 9.02(b)(iv); in each case received and deposited during or in respect of such Collection Period or such Payment Date.</w:t>
      </w:r>
    </w:p>
    <w:p>
      <w:pPr>
        <w:pStyle w:val="TextBody"/>
        <w:bidi w:val="0"/>
        <w:spacing w:before="0" w:after="240"/>
        <w:jc w:val="both"/>
        <w:rPr/>
      </w:pPr>
      <w:r>
        <w:rPr>
          <w:color w:val="000000"/>
        </w:rPr>
        <w:t>“</w:t>
      </w:r>
      <w:r>
        <w:rPr>
          <w:rFonts w:ascii="Times New Roman" w:hAnsi="Times New Roman"/>
          <w:color w:val="000000"/>
          <w:sz w:val="24"/>
          <w:u w:val="single"/>
        </w:rPr>
        <w:t>Commitmen</w:t>
      </w:r>
      <w:r>
        <w:rPr>
          <w:rFonts w:ascii="Times New Roman" w:hAnsi="Times New Roman"/>
          <w:color w:val="000000"/>
          <w:sz w:val="24"/>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Commitment Proposed Extension Date</w:t>
      </w:r>
      <w:r>
        <w:rPr>
          <w:rFonts w:ascii="Times New Roman" w:hAnsi="Times New Roman"/>
          <w:color w:val="000000"/>
          <w:sz w:val="20"/>
        </w:rPr>
        <w:t xml:space="preserve">” </w:t>
      </w:r>
      <w:r>
        <w:rPr>
          <w:rFonts w:ascii="Times New Roman" w:hAnsi="Times New Roman"/>
          <w:color w:val="000000"/>
          <w:sz w:val="24"/>
        </w:rPr>
        <w:t>means the earlier of (i) a date no less than [***] days after the Closing Date or any date that the Commitment Termination Date is extended in accordance with Section 2.04 and (ii) each date upon which the Aggregate Commitment has been increased above $[***].</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means the earlier of (i) August 28, 2026 or such later date to which the Commitment Termination Date may be extended in accordance with Section 2.04(a), (ii) the date on which a Commitment Termination Event occurs, and (iii) the Termination Date.</w:t>
      </w:r>
    </w:p>
    <w:p>
      <w:pPr>
        <w:pStyle w:val="TextBody"/>
        <w:bidi w:val="0"/>
        <w:spacing w:before="0" w:after="240"/>
        <w:jc w:val="both"/>
        <w:rPr/>
      </w:pPr>
      <w:r>
        <w:rPr>
          <w:color w:val="000000"/>
        </w:rPr>
        <w:t>“</w:t>
      </w:r>
      <w:r>
        <w:rPr>
          <w:rFonts w:ascii="Times New Roman" w:hAnsi="Times New Roman"/>
          <w:color w:val="000000"/>
          <w:sz w:val="24"/>
          <w:u w:val="single"/>
        </w:rPr>
        <w:t>Commitment Termination Event</w:t>
      </w:r>
      <w:r>
        <w:rPr>
          <w:rFonts w:ascii="Times New Roman" w:hAnsi="Times New Roman"/>
          <w:color w:val="000000"/>
          <w:sz w:val="20"/>
        </w:rPr>
        <w:t xml:space="preserve">” </w:t>
      </w:r>
      <w:r>
        <w:rPr>
          <w:rFonts w:ascii="Times New Roman" w:hAnsi="Times New Roman"/>
          <w:color w:val="000000"/>
          <w:sz w:val="24"/>
        </w:rPr>
        <w:t xml:space="preserve">means the earlier of (i) the failure of the Parent to maintain Available Liquidity equal to or greater than $[***], tested on a daily basis and as of any Determination Date, and (ii) the occurrence of any Servicer Termination Event or Termination Event. For the avoidance of doubt, a Commitment Termination Event shall not constitute a Termination Event unless and until a further event specified in </w:t>
      </w:r>
      <w:r>
        <w:rPr>
          <w:rFonts w:ascii="Times New Roman" w:hAnsi="Times New Roman"/>
          <w:color w:val="000000"/>
          <w:sz w:val="24"/>
          <w:u w:val="single"/>
        </w:rPr>
        <w:t>Section 9.01(a)</w:t>
      </w:r>
      <w:r>
        <w:rPr>
          <w:rFonts w:ascii="Times New Roman" w:hAnsi="Times New Roman"/>
          <w:color w:val="000000"/>
          <w:sz w:val="20"/>
        </w:rPr>
        <w:t xml:space="preserve"> </w:t>
      </w:r>
      <w:r>
        <w:rPr>
          <w:rFonts w:ascii="Times New Roman" w:hAnsi="Times New Roman"/>
          <w:color w:val="000000"/>
          <w:sz w:val="24"/>
        </w:rPr>
        <w:t>occurs.</w:t>
      </w:r>
    </w:p>
    <w:p>
      <w:pPr>
        <w:pStyle w:val="TextBody"/>
        <w:bidi w:val="0"/>
        <w:spacing w:before="0" w:after="240"/>
        <w:jc w:val="both"/>
        <w:rPr/>
      </w:pPr>
      <w:r>
        <w:rPr>
          <w:color w:val="000000"/>
        </w:rPr>
        <w:t>“</w:t>
      </w:r>
      <w:r>
        <w:rPr>
          <w:rFonts w:ascii="Times New Roman" w:hAnsi="Times New Roman"/>
          <w:color w:val="000000"/>
          <w:sz w:val="24"/>
          <w:u w:val="single"/>
        </w:rPr>
        <w:t>Committed Lender</w:t>
      </w:r>
      <w:r>
        <w:rPr>
          <w:rFonts w:ascii="Times New Roman" w:hAnsi="Times New Roman"/>
          <w:color w:val="000000"/>
          <w:sz w:val="20"/>
        </w:rPr>
        <w:t xml:space="preserve">” </w:t>
      </w:r>
      <w:r>
        <w:rPr>
          <w:rFonts w:ascii="Times New Roman" w:hAnsi="Times New Roman"/>
          <w:color w:val="000000"/>
          <w:sz w:val="24"/>
        </w:rPr>
        <w:t>means any Lender that is designated as a Committed Lender in the Assignment and Acceptance pursuant to which it became a party to this Agreement, and any assignee of such Lender to the extent of the portion of such Commitment assumed by such assignee pursuant to its respective Assignment and Acceptance.</w:t>
      </w:r>
    </w:p>
    <w:p>
      <w:pPr>
        <w:pStyle w:val="TextBody"/>
        <w:bidi w:val="0"/>
        <w:spacing w:before="0" w:after="240"/>
        <w:jc w:val="both"/>
        <w:rPr/>
      </w:pPr>
      <w:r>
        <w:rPr>
          <w:color w:val="000000"/>
        </w:rPr>
        <w:t>“</w:t>
      </w:r>
      <w:r>
        <w:rPr>
          <w:rFonts w:ascii="Times New Roman" w:hAnsi="Times New Roman"/>
          <w:color w:val="000000"/>
          <w:sz w:val="24"/>
          <w:u w:val="single"/>
        </w:rPr>
        <w:t>Concentration Limits</w:t>
      </w:r>
      <w:r>
        <w:rPr>
          <w:rFonts w:ascii="Times New Roman" w:hAnsi="Times New Roman"/>
          <w:color w:val="000000"/>
          <w:sz w:val="20"/>
        </w:rPr>
        <w:t xml:space="preserve">” </w:t>
      </w:r>
      <w:r>
        <w:rPr>
          <w:rFonts w:ascii="Times New Roman" w:hAnsi="Times New Roman"/>
          <w:color w:val="000000"/>
          <w:sz w:val="24"/>
        </w:rPr>
        <w:t>means that, as of any day, based on the aggregate Net Principal Balance of the Eligible Receivables (excluding any Receivables that are Acquired Portfolio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Based on the billing addresses of the related Obligors, (a) the State having the highest aggregate Net Principal Balance of the Receivables does not account for more than with respect to (1) any State other than the States of California and Texas, [***]% of the aggregate Net Principal Balance, (2) the State of California, [***]% of the aggregate Net Principal Balance and (3) the State of Texas, [***]% of the aggregate Net Principal Balance, (b) each of the two States having the second and third highest aggregate Net Principal Balance of the Receivables does not account for more than [***]% of the aggregate Net Principal Balance, (c) the State having the fourth highest aggregate Net Principal Balance of the Receivables does not account for more than [***]% of the aggregate Net Principal Balance and (d) no other State’s aggregate Net Principal Balance of the Receivables accounts for more than [***]% of the aggregate Net Principal Balance;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original terms greater than [***] months related to Financed Vehicles with mileages greater than [***] miles;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No more than [***]% of the aggregate Net Principal Balance of the Eligible Receivables relates to primary Obligors who do not have credit bureau scores or who have credit bureau scores equal to zero as of the time of origination of the related Contract and (b) No more than [***]% of the aggregate Net Principal Balance of Eligible Receivables relates to primary Obligors who have credit bureau scores less than [***] as of the time of origination of the related Contract;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No Dealer (excluding any Dealer associated with the Vroom Origination Channel) accounts for more than [***]% of the aggregate Net Principal Balance of the Eligible Receivables, and (b) the Dealers (excluding any Dealer associated with the Vroom Origination Channel) having the first, second and third highest aggregate Net Principal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Balance of Eligible Receivables collectively do not account for more than [***]% of the aggregate Net Principal Balance of the Eligible Receivables;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relates to Receivables with respect to which the related APR is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more than [***]% of the aggregate Net Principal Balance of the Eligible Receivables relates to Vroom Receivables;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weighted average Payment-to-Income Ratio of all Eligible Receivables shall not exceed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Payment-to-Income Ratio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Debt-to-Income Ratio of all Eligible Receivables shall not exceed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Debt-to-Income Ratio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was originated 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credit bureau score (for non-zero scores) of all Obligors of Eligible Receivables shall not be less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Principal Balance of all Eligible Receivables shall not be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Loan-to-Value Ratio (CarStory) of all Eligible Receivables shall not be greater than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more than [***]% of the aggregate Net Principal Balance of the Eligible Receivables has a Loan-to-Value Ratio (KBB/NADA) greater than [***]%;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weighted average Loan-to-Value Ratio (KBB/NADA) of all Eligible Receivables shall not be greater than [***]%.</w:t>
      </w:r>
    </w:p>
    <w:p>
      <w:pPr>
        <w:pStyle w:val="TextBody"/>
        <w:bidi w:val="0"/>
        <w:spacing w:before="0" w:after="24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2.18 and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pStyle w:val="TextBody"/>
        <w:bidi w:val="0"/>
        <w:spacing w:before="0" w:after="240"/>
        <w:jc w:val="both"/>
        <w:rPr/>
      </w:pPr>
      <w:r>
        <w:rPr>
          <w:color w:val="000000"/>
        </w:rPr>
        <w:t>“</w:t>
      </w:r>
      <w:r>
        <w:rPr>
          <w:rFonts w:ascii="Times New Roman" w:hAnsi="Times New Roman"/>
          <w:color w:val="000000"/>
          <w:sz w:val="24"/>
          <w:u w:val="single"/>
        </w:rPr>
        <w:t>Continued 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pStyle w:val="TextBody"/>
        <w:bidi w:val="0"/>
        <w:spacing w:before="0" w:after="240"/>
        <w:jc w:val="both"/>
        <w:rPr/>
      </w:pPr>
      <w:r>
        <w:rPr>
          <w:color w:val="000000"/>
        </w:rPr>
        <w:t>“</w:t>
      </w:r>
      <w:r>
        <w:rPr>
          <w:rFonts w:ascii="Times New Roman" w:hAnsi="Times New Roman"/>
          <w:color w:val="000000"/>
          <w:sz w:val="24"/>
          <w:u w:val="single"/>
        </w:rPr>
        <w:t>Contractual Obligation</w:t>
      </w:r>
      <w:r>
        <w:rPr>
          <w:rFonts w:ascii="Times New Roman" w:hAnsi="Times New Roman"/>
          <w:color w:val="000000"/>
          <w:sz w:val="20"/>
        </w:rPr>
        <w:t xml:space="preserve">” </w:t>
      </w:r>
      <w:r>
        <w:rPr>
          <w:rFonts w:ascii="Times New Roman" w:hAnsi="Times New Roman"/>
          <w:color w:val="000000"/>
          <w:sz w:val="24"/>
        </w:rPr>
        <w:t>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of an entity, whether through the ability to exercise voting power, by contract or otherwise. (“Controlled” and “Controlling” have the meaning correlative thereto).</w:t>
      </w:r>
    </w:p>
    <w:p>
      <w:pPr>
        <w:pStyle w:val="TextBody"/>
        <w:bidi w:val="0"/>
        <w:spacing w:before="0" w:after="240"/>
        <w:jc w:val="both"/>
        <w:rPr/>
      </w:pPr>
      <w:r>
        <w:rPr>
          <w:color w:val="000000"/>
        </w:rPr>
        <w:t>“</w:t>
      </w:r>
      <w:r>
        <w:rPr>
          <w:rFonts w:ascii="Times New Roman" w:hAnsi="Times New Roman"/>
          <w:color w:val="000000"/>
          <w:sz w:val="24"/>
          <w:u w:val="single"/>
        </w:rPr>
        <w:t>Cram Down Loss</w:t>
      </w:r>
      <w:r>
        <w:rPr>
          <w:rFonts w:ascii="Times New Roman" w:hAnsi="Times New Roman"/>
          <w:color w:val="000000"/>
          <w:sz w:val="20"/>
        </w:rPr>
        <w:t xml:space="preserve">” </w:t>
      </w:r>
      <w:r>
        <w:rPr>
          <w:rFonts w:ascii="Times New Roman" w:hAnsi="Times New Roman"/>
          <w:color w:val="000000"/>
          <w:sz w:val="24"/>
        </w:rPr>
        <w:t>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rate of interest specified by the court in such order) of the Scheduled Payments as so modified or restructured. A “Cram Down Loss” shall be deemed to have occurred on the date such order is entered.</w:t>
      </w:r>
    </w:p>
    <w:p>
      <w:pPr>
        <w:pStyle w:val="TextBody"/>
        <w:bidi w:val="0"/>
        <w:spacing w:before="0" w:after="240"/>
        <w:jc w:val="both"/>
        <w:rPr/>
      </w:pPr>
      <w:r>
        <w:rPr>
          <w:color w:val="000000"/>
        </w:rPr>
        <w:t>“</w:t>
      </w:r>
      <w:r>
        <w:rPr>
          <w:rFonts w:ascii="Times New Roman" w:hAnsi="Times New Roman"/>
          <w:color w:val="000000"/>
          <w:sz w:val="24"/>
          <w:u w:val="single"/>
        </w:rPr>
        <w:t>Credit and Collection Policy</w:t>
      </w:r>
      <w:r>
        <w:rPr>
          <w:rFonts w:ascii="Times New Roman" w:hAnsi="Times New Roman"/>
          <w:color w:val="000000"/>
          <w:sz w:val="20"/>
        </w:rPr>
        <w:t xml:space="preserve">” </w:t>
      </w:r>
      <w:r>
        <w:rPr>
          <w:rFonts w:ascii="Times New Roman" w:hAnsi="Times New Roman"/>
          <w:color w:val="000000"/>
          <w:sz w:val="24"/>
        </w:rPr>
        <w:t>means, (x) with respect to the initial Servicer, the credit and collection policies of the Servicer or (y) with respect to any Successor Servicer, the customary credit and collection policies of such Successor Servicer. The Credit and Collection Policy, as in effect on the Closing Date, is attached hereto as Exhibit D.</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means, (i) so long as no Custodian Termination Event has occurred, UACC, acting directly as Custodian and/or [***] as an agent of UACC, and (ii) following the occurrence of a Custodian Termination Event, [***] or a different successor custodian appointed pursuant to Section 7.19(j).</w:t>
      </w:r>
    </w:p>
    <w:p>
      <w:pPr>
        <w:pStyle w:val="TextBody"/>
        <w:bidi w:val="0"/>
        <w:spacing w:before="0" w:after="240"/>
        <w:jc w:val="both"/>
        <w:rPr/>
      </w:pPr>
      <w:r>
        <w:rPr>
          <w:color w:val="000000"/>
        </w:rPr>
        <w:t>“</w:t>
      </w:r>
      <w:r>
        <w:rPr>
          <w:rFonts w:ascii="Times New Roman" w:hAnsi="Times New Roman"/>
          <w:color w:val="000000"/>
          <w:sz w:val="24"/>
          <w:u w:val="single"/>
        </w:rPr>
        <w:t>Custodian Fee</w:t>
      </w:r>
      <w:r>
        <w:rPr>
          <w:rFonts w:ascii="Times New Roman" w:hAnsi="Times New Roman"/>
          <w:color w:val="000000"/>
          <w:sz w:val="20"/>
        </w:rPr>
        <w:t xml:space="preserve">” </w:t>
      </w:r>
      <w:r>
        <w:rPr>
          <w:rFonts w:ascii="Times New Roman" w:hAnsi="Times New Roman"/>
          <w:color w:val="000000"/>
          <w:sz w:val="24"/>
        </w:rPr>
        <w:t>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Custodian Termination Event</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Cutoff Date</w:t>
      </w:r>
      <w:r>
        <w:rPr>
          <w:rFonts w:ascii="Times New Roman" w:hAnsi="Times New Roman"/>
          <w:color w:val="000000"/>
          <w:sz w:val="20"/>
        </w:rPr>
        <w:t xml:space="preserve">” </w:t>
      </w:r>
      <w:r>
        <w:rPr>
          <w:rFonts w:ascii="Times New Roman" w:hAnsi="Times New Roman"/>
          <w:color w:val="000000"/>
          <w:sz w:val="24"/>
        </w:rPr>
        <w:t>means, with respect to Receivables transferred to the Borrower on each Funding Date, such date as shall be identified as the Cutoff Date in the related Funding Request.</w:t>
      </w:r>
    </w:p>
    <w:p>
      <w:pPr>
        <w:pStyle w:val="TextBody"/>
        <w:bidi w:val="0"/>
        <w:spacing w:before="0" w:after="240"/>
        <w:jc w:val="both"/>
        <w:rPr/>
      </w:pPr>
      <w:r>
        <w:rPr>
          <w:color w:val="000000"/>
        </w:rPr>
        <w:t>“</w:t>
      </w:r>
      <w:r>
        <w:rPr>
          <w:rFonts w:ascii="Times New Roman" w:hAnsi="Times New Roman"/>
          <w:color w:val="000000"/>
          <w:sz w:val="24"/>
          <w:u w:val="single"/>
        </w:rPr>
        <w:t>Dealer</w:t>
      </w:r>
      <w:r>
        <w:rPr>
          <w:rFonts w:ascii="Times New Roman" w:hAnsi="Times New Roman"/>
          <w:color w:val="000000"/>
          <w:sz w:val="20"/>
        </w:rPr>
        <w:t xml:space="preserve">” </w:t>
      </w:r>
      <w:r>
        <w:rPr>
          <w:rFonts w:ascii="Times New Roman" w:hAnsi="Times New Roman"/>
          <w:color w:val="000000"/>
          <w:sz w:val="24"/>
        </w:rPr>
        <w:t>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pStyle w:val="TextBody"/>
        <w:bidi w:val="0"/>
        <w:spacing w:before="0" w:after="240"/>
        <w:jc w:val="both"/>
        <w:rPr/>
      </w:pPr>
      <w:r>
        <w:rPr>
          <w:color w:val="000000"/>
        </w:rPr>
        <w:t>“</w:t>
      </w:r>
      <w:r>
        <w:rPr>
          <w:rFonts w:ascii="Times New Roman" w:hAnsi="Times New Roman"/>
          <w:color w:val="000000"/>
          <w:sz w:val="24"/>
          <w:u w:val="single"/>
        </w:rPr>
        <w:t>Dealer Agreement</w:t>
      </w:r>
      <w:r>
        <w:rPr>
          <w:rFonts w:ascii="Times New Roman" w:hAnsi="Times New Roman"/>
          <w:color w:val="000000"/>
          <w:sz w:val="20"/>
        </w:rPr>
        <w:t xml:space="preserve">” </w:t>
      </w:r>
      <w:r>
        <w:rPr>
          <w:rFonts w:ascii="Times New Roman" w:hAnsi="Times New Roman"/>
          <w:color w:val="000000"/>
          <w:sz w:val="24"/>
        </w:rPr>
        <w:t>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pStyle w:val="TextBody"/>
        <w:bidi w:val="0"/>
        <w:spacing w:before="0" w:after="240"/>
        <w:jc w:val="both"/>
        <w:rPr/>
      </w:pPr>
      <w:r>
        <w:rPr>
          <w:color w:val="000000"/>
        </w:rPr>
        <w:t>“</w:t>
      </w:r>
      <w:r>
        <w:rPr>
          <w:rFonts w:ascii="Times New Roman" w:hAnsi="Times New Roman"/>
          <w:color w:val="000000"/>
          <w:sz w:val="24"/>
          <w:u w:val="single"/>
        </w:rPr>
        <w:t>Debt-to-Income Ratio</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DTI</w:t>
      </w:r>
      <w:r>
        <w:rPr>
          <w:rFonts w:ascii="Times New Roman" w:hAnsi="Times New Roman"/>
          <w:color w:val="000000"/>
          <w:sz w:val="20"/>
        </w:rPr>
        <w:t xml:space="preserve">” </w:t>
      </w:r>
      <w:r>
        <w:rPr>
          <w:rFonts w:ascii="Times New Roman" w:hAnsi="Times New Roman"/>
          <w:color w:val="000000"/>
          <w:sz w:val="24"/>
        </w:rPr>
        <w:t>means with respect to any Receivable, , as of the related origination date, the ratio (expressed as a percentage) of (i) the sum of the scheduled monthly payment due from the related Obligor under such Receivable and all other monthly debt obligations of such Obligor (as reported in the related credit application or credit bureau report at the time of origination) to (ii) the gross monthly income of such Obligor as stated in the related credit application or as otherwise verified by the Originator at the time of origination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Default Rate</w:t>
      </w:r>
      <w:r>
        <w:rPr>
          <w:rFonts w:ascii="Times New Roman" w:hAnsi="Times New Roman"/>
          <w:color w:val="000000"/>
          <w:sz w:val="20"/>
        </w:rPr>
        <w:t xml:space="preserve">” </w:t>
      </w:r>
      <w:r>
        <w:rPr>
          <w:rFonts w:ascii="Times New Roman" w:hAnsi="Times New Roman"/>
          <w:color w:val="000000"/>
          <w:sz w:val="24"/>
        </w:rPr>
        <w:t>means the sum of (a) the Interest Rate and (b) [***]%.</w:t>
      </w:r>
    </w:p>
    <w:p>
      <w:pPr>
        <w:pStyle w:val="TextBody"/>
        <w:bidi w:val="0"/>
        <w:spacing w:before="0" w:after="240"/>
        <w:jc w:val="both"/>
        <w:rPr/>
      </w:pPr>
      <w:r>
        <w:rPr>
          <w:color w:val="000000"/>
        </w:rPr>
        <w:t>“</w:t>
      </w:r>
      <w:r>
        <w:rPr>
          <w:rFonts w:ascii="Times New Roman" w:hAnsi="Times New Roman"/>
          <w:color w:val="000000"/>
          <w:sz w:val="24"/>
          <w:u w:val="single"/>
        </w:rPr>
        <w:t>Defaulted Receivable</w:t>
      </w:r>
      <w:r>
        <w:rPr>
          <w:rFonts w:ascii="Times New Roman" w:hAnsi="Times New Roman"/>
          <w:color w:val="000000"/>
          <w:sz w:val="20"/>
        </w:rPr>
        <w:t xml:space="preserve">” </w:t>
      </w:r>
      <w:r>
        <w:rPr>
          <w:rFonts w:ascii="Times New Roman" w:hAnsi="Times New Roman"/>
          <w:color w:val="000000"/>
          <w:sz w:val="24"/>
        </w:rPr>
        <w:t>means, with respect to any Collection Period, a Receivable for which, as of the last day of such Collection Period, (i) the Servicer has repossessed the related Financed Vehicle and either (a) the Servicer has sold and received proceeds on each sale for such Financed Vehicle and received the proceeds of such sale or (b) [**] days have passed since repossession, (ii) the Servicer has determined in good faith and in accordance with the Credit and Collection Policy that it has received all amounts it expects to recover, (iii) [***]% or more of a scheduled payment became [***] or more days delinquent (or [***] or more days delinquent, in the case of a repossessed Financed Vehicle) or (iv) the Servicer has settled such Receivable in accordance with the Credit and Collection Policy.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sum of (A) the aggregate Principal Balance of all Eligible Receivables as of such Determination Date and (B) the aggregate Principal Balance of all Delinquent Receivables as of such Determination Date.</w:t>
      </w:r>
    </w:p>
    <w:p>
      <w:pPr>
        <w:pStyle w:val="TextBody"/>
        <w:bidi w:val="0"/>
        <w:spacing w:before="0" w:after="240"/>
        <w:jc w:val="both"/>
        <w:rPr/>
      </w:pPr>
      <w:r>
        <w:rPr>
          <w:color w:val="000000"/>
        </w:rPr>
        <w:t>“</w:t>
      </w:r>
      <w:r>
        <w:rPr>
          <w:rFonts w:ascii="Times New Roman" w:hAnsi="Times New Roman"/>
          <w:color w:val="000000"/>
          <w:sz w:val="24"/>
          <w:u w:val="single"/>
        </w:rPr>
        <w:t>Delinquent Receivable</w:t>
      </w:r>
      <w:r>
        <w:rPr>
          <w:rFonts w:ascii="Times New Roman" w:hAnsi="Times New Roman"/>
          <w:color w:val="000000"/>
          <w:sz w:val="20"/>
        </w:rPr>
        <w:t xml:space="preserve">” </w:t>
      </w:r>
      <w:r>
        <w:rPr>
          <w:rFonts w:ascii="Times New Roman" w:hAnsi="Times New Roman"/>
          <w:color w:val="000000"/>
          <w:sz w:val="24"/>
        </w:rPr>
        <w:t>means any Receivable, other than a Defaulted Receivable, with respect to which more than [***]% of any Scheduled Payment remains unpaid for more than [***] days after the related due date as of any Determination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Deliver</w:t>
      </w:r>
      <w:r>
        <w:rPr>
          <w:rFonts w:ascii="Times New Roman" w:hAnsi="Times New Roman"/>
          <w:color w:val="000000"/>
          <w:sz w:val="20"/>
        </w:rPr>
        <w:t xml:space="preserve">” </w:t>
      </w:r>
      <w:r>
        <w:rPr>
          <w:rFonts w:ascii="Times New Roman" w:hAnsi="Times New Roman"/>
          <w:color w:val="000000"/>
          <w:sz w:val="24"/>
        </w:rPr>
        <w:t>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w:t>
      </w:r>
      <w:r>
        <w:rPr>
          <w:rFonts w:ascii="Times New Roman" w:hAnsi="Times New Roman"/>
          <w:color w:val="000000"/>
          <w:sz w:val="24"/>
          <w:u w:val="single"/>
        </w:rPr>
        <w:t>Delivery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Delivered</w:t>
      </w:r>
      <w:r>
        <w:rPr>
          <w:rFonts w:ascii="Times New Roman" w:hAnsi="Times New Roman"/>
          <w:color w:val="000000"/>
          <w:sz w:val="20"/>
        </w:rPr>
        <w:t xml:space="preserve">” </w:t>
      </w:r>
      <w:r>
        <w:rPr>
          <w:rFonts w:ascii="Times New Roman" w:hAnsi="Times New Roman"/>
          <w:color w:val="000000"/>
          <w:sz w:val="24"/>
        </w:rPr>
        <w:t>have corollary meanings.</w:t>
      </w:r>
    </w:p>
    <w:p>
      <w:pPr>
        <w:pStyle w:val="TextBody"/>
        <w:bidi w:val="0"/>
        <w:spacing w:before="0" w:after="240"/>
        <w:jc w:val="both"/>
        <w:rPr/>
      </w:pPr>
      <w:r>
        <w:rPr>
          <w:color w:val="000000"/>
        </w:rPr>
        <w:t>“</w:t>
      </w:r>
      <w:r>
        <w:rPr>
          <w:rFonts w:ascii="Times New Roman" w:hAnsi="Times New Roman"/>
          <w:color w:val="000000"/>
          <w:sz w:val="24"/>
          <w:u w:val="single"/>
        </w:rPr>
        <w:t>Derivative</w:t>
      </w:r>
      <w:r>
        <w:rPr>
          <w:rFonts w:ascii="Times New Roman" w:hAnsi="Times New Roman"/>
          <w:color w:val="000000"/>
          <w:sz w:val="20"/>
        </w:rPr>
        <w:t xml:space="preserve">” </w:t>
      </w:r>
      <w:r>
        <w:rPr>
          <w:rFonts w:ascii="Times New Roman" w:hAnsi="Times New Roman"/>
          <w:color w:val="000000"/>
          <w:sz w:val="24"/>
        </w:rPr>
        <w:t>means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pStyle w:val="TextBody"/>
        <w:bidi w:val="0"/>
        <w:spacing w:before="0" w:after="240"/>
        <w:jc w:val="both"/>
        <w:rPr/>
      </w:pPr>
      <w:r>
        <w:rPr>
          <w:color w:val="000000"/>
        </w:rPr>
        <w:t>“</w:t>
      </w:r>
      <w:r>
        <w:rPr>
          <w:rFonts w:ascii="Times New Roman" w:hAnsi="Times New Roman"/>
          <w:color w:val="000000"/>
          <w:sz w:val="24"/>
          <w:u w:val="single"/>
        </w:rPr>
        <w:t>Determination Date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Dissenting Lender</w:t>
      </w:r>
      <w:r>
        <w:rPr>
          <w:rFonts w:ascii="Times New Roman" w:hAnsi="Times New Roman"/>
          <w:color w:val="000000"/>
          <w:sz w:val="20"/>
        </w:rPr>
        <w:t xml:space="preserve">” </w:t>
      </w:r>
      <w:r>
        <w:rPr>
          <w:rFonts w:ascii="Times New Roman" w:hAnsi="Times New Roman"/>
          <w:color w:val="000000"/>
          <w:sz w:val="24"/>
        </w:rPr>
        <w:t>means a Non-Extending Lender from the date of its refusal notice or the end of the Election Period.</w:t>
      </w:r>
    </w:p>
    <w:p>
      <w:pPr>
        <w:pStyle w:val="TextBody"/>
        <w:bidi w:val="0"/>
        <w:spacing w:before="0" w:after="240"/>
        <w:jc w:val="both"/>
        <w:rPr/>
      </w:pPr>
      <w:r>
        <w:rPr>
          <w:color w:val="000000"/>
        </w:rPr>
        <w:t>“</w:t>
      </w:r>
      <w:r>
        <w:rPr>
          <w:rFonts w:ascii="Times New Roman" w:hAnsi="Times New Roman"/>
          <w:color w:val="000000"/>
          <w:sz w:val="24"/>
          <w:u w:val="single"/>
        </w:rPr>
        <w:t>Dodd-Frank Act</w:t>
      </w:r>
      <w:r>
        <w:rPr>
          <w:rFonts w:ascii="Times New Roman" w:hAnsi="Times New Roman"/>
          <w:color w:val="000000"/>
          <w:sz w:val="20"/>
        </w:rPr>
        <w:t xml:space="preserve">” </w:t>
      </w:r>
      <w:r>
        <w:rPr>
          <w:rFonts w:ascii="Times New Roman" w:hAnsi="Times New Roman"/>
          <w:color w:val="000000"/>
          <w:sz w:val="24"/>
        </w:rPr>
        <w:t>means The Dodd-Frank Wall Street Reform and Consumer Protection Act (Pub.L. 111-203, H.R. 4173), as amended.</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means the lawful currency of the United States.</w:t>
      </w:r>
    </w:p>
    <w:p>
      <w:pPr>
        <w:pStyle w:val="TextBody"/>
        <w:bidi w:val="0"/>
        <w:spacing w:before="0" w:after="240"/>
        <w:jc w:val="both"/>
        <w:rPr/>
      </w:pPr>
      <w:r>
        <w:rPr>
          <w:color w:val="000000"/>
        </w:rPr>
        <w:t>“</w:t>
      </w:r>
      <w:r>
        <w:rPr>
          <w:rFonts w:ascii="Times New Roman" w:hAnsi="Times New Roman"/>
          <w:color w:val="000000"/>
          <w:sz w:val="24"/>
          <w:u w:val="single"/>
        </w:rPr>
        <w:t>E-Vault Access Agreement</w:t>
      </w:r>
      <w:r>
        <w:rPr>
          <w:rFonts w:ascii="Times New Roman" w:hAnsi="Times New Roman"/>
          <w:color w:val="000000"/>
          <w:sz w:val="20"/>
        </w:rPr>
        <w:t xml:space="preserve">” </w:t>
      </w:r>
      <w:r>
        <w:rPr>
          <w:rFonts w:ascii="Times New Roman" w:hAnsi="Times New Roman"/>
          <w:color w:val="000000"/>
          <w:sz w:val="24"/>
        </w:rPr>
        <w:t>means an access agreement by and between the E-Vault Provider and the Custodian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E-Vault Provider</w:t>
      </w:r>
      <w:r>
        <w:rPr>
          <w:rFonts w:ascii="Times New Roman" w:hAnsi="Times New Roman"/>
          <w:color w:val="000000"/>
          <w:sz w:val="20"/>
        </w:rPr>
        <w:t xml:space="preserve">” </w:t>
      </w:r>
      <w:r>
        <w:rPr>
          <w:rFonts w:ascii="Times New Roman" w:hAnsi="Times New Roman"/>
          <w:color w:val="000000"/>
          <w:sz w:val="24"/>
        </w:rPr>
        <w:t>means [***], [***] or such other Person that is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E-Vault System</w:t>
      </w:r>
      <w:r>
        <w:rPr>
          <w:rFonts w:ascii="Times New Roman" w:hAnsi="Times New Roman"/>
          <w:color w:val="000000"/>
          <w:sz w:val="20"/>
        </w:rPr>
        <w:t xml:space="preserve">” </w:t>
      </w:r>
      <w:r>
        <w:rPr>
          <w:rFonts w:ascii="Times New Roman" w:hAnsi="Times New Roman"/>
          <w:color w:val="000000"/>
          <w:sz w:val="24"/>
        </w:rPr>
        <w:t>means the “[***]” maintained by the E-Vault Provider (if [***]), the “[***]” maintained by the E-Vault Provider (if [***]) or any similar system maintained by any other E-Vault Provider.</w:t>
      </w:r>
    </w:p>
    <w:p>
      <w:pPr>
        <w:pStyle w:val="TextBody"/>
        <w:bidi w:val="0"/>
        <w:spacing w:before="0" w:after="240"/>
        <w:jc w:val="both"/>
        <w:rPr/>
      </w:pPr>
      <w:r>
        <w:rPr>
          <w:color w:val="000000"/>
        </w:rPr>
        <w:t>“</w:t>
      </w:r>
      <w:r>
        <w:rPr>
          <w:rFonts w:ascii="Times New Roman" w:hAnsi="Times New Roman"/>
          <w:color w:val="000000"/>
          <w:sz w:val="24"/>
          <w:u w:val="single"/>
        </w:rPr>
        <w:t>Election Period</w:t>
      </w:r>
      <w:r>
        <w:rPr>
          <w:rFonts w:ascii="Times New Roman" w:hAnsi="Times New Roman"/>
          <w:color w:val="000000"/>
          <w:sz w:val="20"/>
        </w:rPr>
        <w:t xml:space="preserve">” </w:t>
      </w:r>
      <w:r>
        <w:rPr>
          <w:rFonts w:ascii="Times New Roman" w:hAnsi="Times New Roman"/>
          <w:color w:val="000000"/>
          <w:sz w:val="24"/>
        </w:rPr>
        <w:t>means the 60</w:t>
        <w:noBreakHyphen/>
        <w:t>day period following the date of a request for an extension pursuant to Section 2.04(a).</w:t>
      </w:r>
    </w:p>
    <w:p>
      <w:pPr>
        <w:pStyle w:val="TextBody"/>
        <w:bidi w:val="0"/>
        <w:spacing w:before="0" w:after="240"/>
        <w:jc w:val="both"/>
        <w:rPr/>
      </w:pPr>
      <w:r>
        <w:rPr>
          <w:color w:val="000000"/>
        </w:rPr>
        <w:t>“</w:t>
      </w:r>
      <w:r>
        <w:rPr>
          <w:rFonts w:ascii="Times New Roman" w:hAnsi="Times New Roman"/>
          <w:color w:val="000000"/>
          <w:sz w:val="24"/>
          <w:u w:val="single"/>
        </w:rPr>
        <w:t>Electronic Collateral Control Agreement</w:t>
      </w:r>
      <w:r>
        <w:rPr>
          <w:rFonts w:ascii="Times New Roman" w:hAnsi="Times New Roman"/>
          <w:color w:val="000000"/>
          <w:sz w:val="20"/>
        </w:rPr>
        <w:t xml:space="preserve">” </w:t>
      </w:r>
      <w:r>
        <w:rPr>
          <w:rFonts w:ascii="Times New Roman" w:hAnsi="Times New Roman"/>
          <w:color w:val="000000"/>
          <w:sz w:val="24"/>
        </w:rPr>
        <w:t>means an electronic collateral control agreement by and among the E-Vault Provider, the Custodian and the Administrative Agent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Electronic Contract</w:t>
      </w:r>
      <w:r>
        <w:rPr>
          <w:rFonts w:ascii="Times New Roman" w:hAnsi="Times New Roman"/>
          <w:color w:val="000000"/>
          <w:sz w:val="20"/>
        </w:rPr>
        <w:t xml:space="preserve">” </w:t>
      </w:r>
      <w:r>
        <w:rPr>
          <w:rFonts w:ascii="Times New Roman" w:hAnsi="Times New Roman"/>
          <w:color w:val="000000"/>
          <w:sz w:val="24"/>
        </w:rPr>
        <w:t>means a Contract that constitutes “electronic chattel paper” under and as defined in Section 9-102(31) of the UCC.</w:t>
      </w:r>
    </w:p>
    <w:p>
      <w:pPr>
        <w:pStyle w:val="TextBody"/>
        <w:bidi w:val="0"/>
        <w:spacing w:before="0" w:after="240"/>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Person (i) whose short-term rating is not less than the Short-Term Rating Requirement, or whose obligations under this Agreement are guaranteed by a Person whose short-term rating is not less than the Short-Term Rating Requirement, (ii) who is either a multi-seller commercial paper conduit or an Affiliate of a Lender or the Administrative Agent or (iii) who is acceptable to the Administrative Agent; provided that, so long as no Termination Event or Servicer Termination Event has occurred and is continuing, such Person, if not an Affiliate of the Lender, or the Administrative Agent, shall be acceptable to the Borrower.</w:t>
      </w:r>
    </w:p>
    <w:p>
      <w:pPr>
        <w:pStyle w:val="TextBody"/>
        <w:bidi w:val="0"/>
        <w:spacing w:before="0" w:after="240"/>
        <w:jc w:val="both"/>
        <w:rPr/>
      </w:pPr>
      <w:r>
        <w:rPr>
          <w:color w:val="000000"/>
        </w:rPr>
        <w:t>“</w:t>
      </w:r>
      <w:r>
        <w:rPr>
          <w:rFonts w:ascii="Times New Roman" w:hAnsi="Times New Roman"/>
          <w:color w:val="000000"/>
          <w:sz w:val="24"/>
          <w:u w:val="single"/>
        </w:rPr>
        <w:t>Eligible Commercial Vehicles</w:t>
      </w:r>
      <w:r>
        <w:rPr>
          <w:rFonts w:ascii="Times New Roman" w:hAnsi="Times New Roman"/>
          <w:color w:val="000000"/>
          <w:sz w:val="20"/>
        </w:rPr>
        <w:t xml:space="preserve">” </w:t>
      </w:r>
      <w:r>
        <w:rPr>
          <w:rFonts w:ascii="Times New Roman" w:hAnsi="Times New Roman"/>
          <w:color w:val="000000"/>
          <w:sz w:val="24"/>
        </w:rPr>
        <w:t>means Ford, Chevrolet, GMC, Dodge or imported trucks with: (i) a rating of 2 tons or less, and (ii) cab and chassis bodies limited to stake body, stake body with lift gate, dump body, cube van, cargo van, Ford transit or other equivalent small commercial vehicles (excluding tow trucks, bobtails, slidebacks, flatbed carriers, food trucks and other catering vehicles).</w:t>
      </w:r>
    </w:p>
    <w:p>
      <w:pPr>
        <w:pStyle w:val="TextBody"/>
        <w:bidi w:val="0"/>
        <w:spacing w:before="0" w:after="240"/>
        <w:jc w:val="both"/>
        <w:rPr/>
      </w:pPr>
      <w:r>
        <w:rPr>
          <w:color w:val="000000"/>
        </w:rPr>
        <w:t>“</w:t>
      </w:r>
      <w:r>
        <w:rPr>
          <w:rFonts w:ascii="Times New Roman" w:hAnsi="Times New Roman"/>
          <w:color w:val="000000"/>
          <w:sz w:val="24"/>
          <w:u w:val="single"/>
        </w:rPr>
        <w:t>Eligible Receivable</w:t>
      </w:r>
      <w:r>
        <w:rPr>
          <w:rFonts w:ascii="Times New Roman" w:hAnsi="Times New Roman"/>
          <w:color w:val="000000"/>
          <w:sz w:val="20"/>
        </w:rPr>
        <w:t xml:space="preserve">” </w:t>
      </w:r>
      <w:r>
        <w:rPr>
          <w:rFonts w:ascii="Times New Roman" w:hAnsi="Times New Roman"/>
          <w:color w:val="000000"/>
          <w:sz w:val="24"/>
        </w:rPr>
        <w:t>means, on any day, any Receivable (i) for which the related Receivable File is in the possession of the Servicer or the Custodian, (ii) which is identified on the Schedule of Receivables delivered by the Borrower to the Administrative Agent as part of a Funding Request and (iii) which satisfies each of the eligibility requirements set forth on Schedule B 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and the regulations promulgated and rulings issued thereunder.</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(i) any corporation which is a member of the same controlled group of corporations (within the meaning of Section 414(b) of the Code) as the Borrower or as 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clause (i) above or any trade or business described in clause (ii) above.</w:t>
      </w:r>
    </w:p>
    <w:p>
      <w:pPr>
        <w:pStyle w:val="TextBody"/>
        <w:bidi w:val="0"/>
        <w:spacing w:before="0" w:after="240"/>
        <w:jc w:val="both"/>
        <w:rPr/>
      </w:pPr>
      <w:r>
        <w:rPr>
          <w:color w:val="000000"/>
        </w:rPr>
        <w:t>“</w:t>
      </w:r>
      <w:r>
        <w:rPr>
          <w:rFonts w:ascii="Times New Roman" w:hAnsi="Times New Roman"/>
          <w:color w:val="000000"/>
          <w:sz w:val="24"/>
          <w:u w:val="single"/>
        </w:rPr>
        <w:t>Errors</w:t>
      </w:r>
      <w:r>
        <w:rPr>
          <w:rFonts w:ascii="Times New Roman" w:hAnsi="Times New Roman"/>
          <w:color w:val="000000"/>
          <w:sz w:val="20"/>
        </w:rPr>
        <w:t xml:space="preserve">” </w:t>
      </w:r>
      <w:r>
        <w:rPr>
          <w:rFonts w:ascii="Times New Roman" w:hAnsi="Times New Roman"/>
          <w:color w:val="000000"/>
          <w:sz w:val="24"/>
        </w:rPr>
        <w:t>has the meaning given to such term in Section 7.10(e).</w:t>
      </w:r>
    </w:p>
    <w:p>
      <w:pPr>
        <w:pStyle w:val="TextBody"/>
        <w:bidi w:val="0"/>
        <w:spacing w:before="0" w:after="240"/>
        <w:jc w:val="both"/>
        <w:rPr/>
      </w:pPr>
      <w:r>
        <w:rPr>
          <w:color w:val="000000"/>
        </w:rPr>
        <w:t>“</w:t>
      </w:r>
      <w:r>
        <w:rPr>
          <w:rFonts w:ascii="Times New Roman" w:hAnsi="Times New Roman"/>
          <w:color w:val="000000"/>
          <w:sz w:val="24"/>
          <w:u w:val="single"/>
        </w:rPr>
        <w:t>Excess Concentration Amount</w:t>
      </w:r>
      <w:r>
        <w:rPr>
          <w:rFonts w:ascii="Times New Roman" w:hAnsi="Times New Roman"/>
          <w:color w:val="000000"/>
          <w:sz w:val="20"/>
        </w:rPr>
        <w:t xml:space="preserve">” </w:t>
      </w:r>
      <w:r>
        <w:rPr>
          <w:rFonts w:ascii="Times New Roman" w:hAnsi="Times New Roman"/>
          <w:color w:val="000000"/>
          <w:sz w:val="24"/>
        </w:rPr>
        <w:t>means, with respect to any day, without duplication, the aggregate Net Principal Balance of Receivables that cause one or more of the Concentration Limits to not be met; provided, however, that the Excess Concentration Amount will be $0 on any day (i) during the first [***] full Collection Periods following a Securitization (including a Securitization that closed prior to the Closing Date) or (ii) until the Loans Outstanding first exceed $[***] following the Closing Date.</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from such Lender’s or the Administrative Agent’s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 (ii) any U.S. withholding Taxes that result from a Lender’s failure to comply with the requirements of Section 2.14(d), (iii) in the case of any Non-U.S. Lender, any U.S withholding Taxes that are imposed on amounts payable to such Non-U.S. Lender at the time such Non-U.S. Lender becomes a party to this Agreement or changes the applicable lending office with respect to this Agreement and (iv) any withholding Taxes under FATCA.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Existing Receivables</w:t>
      </w:r>
      <w:r>
        <w:rPr>
          <w:rFonts w:ascii="Times New Roman" w:hAnsi="Times New Roman"/>
          <w:color w:val="000000"/>
          <w:sz w:val="20"/>
        </w:rPr>
        <w:t xml:space="preserve">” </w:t>
      </w:r>
      <w:r>
        <w:rPr>
          <w:rFonts w:ascii="Times New Roman" w:hAnsi="Times New Roman"/>
          <w:color w:val="000000"/>
          <w:sz w:val="24"/>
        </w:rPr>
        <w:t>means the Receivables that become a part of the Collateral in connection with the Initial Loan.</w:t>
      </w:r>
    </w:p>
    <w:p>
      <w:pPr>
        <w:pStyle w:val="TextBody"/>
        <w:bidi w:val="0"/>
        <w:spacing w:before="0" w:after="240"/>
        <w:jc w:val="both"/>
        <w:rPr/>
      </w:pPr>
      <w:r>
        <w:rPr>
          <w:color w:val="000000"/>
        </w:rPr>
        <w:t>“</w:t>
      </w:r>
      <w:r>
        <w:rPr>
          <w:rFonts w:ascii="Times New Roman" w:hAnsi="Times New Roman"/>
          <w:color w:val="000000"/>
          <w:sz w:val="24"/>
          <w:u w:val="single"/>
        </w:rPr>
        <w:t>Exported</w:t>
      </w:r>
      <w:r>
        <w:rPr>
          <w:rFonts w:ascii="Times New Roman" w:hAnsi="Times New Roman"/>
          <w:color w:val="000000"/>
          <w:sz w:val="20"/>
        </w:rPr>
        <w:t xml:space="preserve">” </w:t>
      </w:r>
      <w:r>
        <w:rPr>
          <w:rFonts w:ascii="Times New Roman" w:hAnsi="Times New Roman"/>
          <w:color w:val="000000"/>
          <w:sz w:val="24"/>
        </w:rPr>
        <w:t>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pStyle w:val="TextBody"/>
        <w:bidi w:val="0"/>
        <w:spacing w:before="0" w:after="240"/>
        <w:jc w:val="left"/>
        <w:rPr/>
      </w:pPr>
      <w:r>
        <w:rPr>
          <w:color w:val="000000"/>
        </w:rPr>
        <w:t>“</w:t>
      </w:r>
      <w:r>
        <w:rPr>
          <w:rFonts w:ascii="Times New Roman" w:hAnsi="Times New Roman"/>
          <w:color w:val="000000"/>
          <w:sz w:val="24"/>
          <w:u w:val="single"/>
        </w:rPr>
        <w:t>Extended Receivable</w:t>
      </w:r>
      <w:r>
        <w:rPr>
          <w:rFonts w:ascii="Times New Roman" w:hAnsi="Times New Roman"/>
          <w:color w:val="000000"/>
          <w:sz w:val="20"/>
        </w:rPr>
        <w:t xml:space="preserve">” </w:t>
      </w:r>
      <w:r>
        <w:rPr>
          <w:rFonts w:ascii="Times New Roman" w:hAnsi="Times New Roman"/>
          <w:color w:val="000000"/>
          <w:sz w:val="24"/>
        </w:rPr>
        <w:t>means any Receivable for which an extension or payment deferment was made (or is in effect) pursuant to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Extension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Receivables that were Extended Receivables during such Collection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Period and (ii) the denominator of which equals the daily average aggregate Principal Balance of all Receivables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Facility Amount</w:t>
      </w:r>
      <w:r>
        <w:rPr>
          <w:rFonts w:ascii="Times New Roman" w:hAnsi="Times New Roman"/>
          <w:color w:val="000000"/>
          <w:sz w:val="20"/>
        </w:rPr>
        <w:t xml:space="preserve">” </w:t>
      </w:r>
      <w:r>
        <w:rPr>
          <w:rFonts w:ascii="Times New Roman" w:hAnsi="Times New Roman"/>
          <w:color w:val="000000"/>
          <w:sz w:val="24"/>
        </w:rPr>
        <w:t>means (i) prior to the Termination Date, the lesser of the Aggregate Commitment on such day and $150,000,000 (if prior to September 24, 2022) or $200,000,000 (if on or after September 24, 2022), and (ii) on and after the Termination Date, the Loans Outstanding.</w:t>
      </w:r>
    </w:p>
    <w:p>
      <w:pPr>
        <w:pStyle w:val="TextBody"/>
        <w:bidi w:val="0"/>
        <w:spacing w:before="0" w:after="240"/>
        <w:jc w:val="both"/>
        <w:rPr/>
      </w:pPr>
      <w:r>
        <w:rPr>
          <w:color w:val="000000"/>
        </w:rPr>
        <w:t>“</w:t>
      </w:r>
      <w:r>
        <w:rPr>
          <w:rFonts w:ascii="Times New Roman" w:hAnsi="Times New Roman"/>
          <w:color w:val="000000"/>
          <w:sz w:val="24"/>
          <w:u w:val="single"/>
        </w:rPr>
        <w:t>Facility Termination Date</w:t>
      </w:r>
      <w:r>
        <w:rPr>
          <w:rFonts w:ascii="Times New Roman" w:hAnsi="Times New Roman"/>
          <w:color w:val="000000"/>
          <w:sz w:val="20"/>
        </w:rPr>
        <w:t xml:space="preserve">” </w:t>
      </w:r>
      <w:r>
        <w:rPr>
          <w:rFonts w:ascii="Times New Roman" w:hAnsi="Times New Roman"/>
          <w:color w:val="000000"/>
          <w:sz w:val="24"/>
        </w:rPr>
        <w:t>means the earlier of (i) the date following the Termination Date on which the Aggregate Unpaids have been indefeasibly paid in full and (ii) the Final Maturity Date.</w:t>
      </w:r>
    </w:p>
    <w:p>
      <w:pPr>
        <w:pStyle w:val="TextBody"/>
        <w:bidi w:val="0"/>
        <w:spacing w:before="0" w:after="240"/>
        <w:jc w:val="both"/>
        <w:rPr/>
      </w:pPr>
      <w:r>
        <w:rPr>
          <w:color w:val="000000"/>
        </w:rPr>
        <w:t>“</w:t>
      </w:r>
      <w:r>
        <w:rPr>
          <w:rFonts w:ascii="Times New Roman" w:hAnsi="Times New Roman"/>
          <w:color w:val="000000"/>
          <w:sz w:val="24"/>
          <w:u w:val="single"/>
        </w:rPr>
        <w:t>FAS 166/167 Rules</w:t>
      </w:r>
      <w:r>
        <w:rPr>
          <w:rFonts w:ascii="Times New Roman" w:hAnsi="Times New Roman"/>
          <w:color w:val="000000"/>
          <w:sz w:val="20"/>
        </w:rPr>
        <w:t xml:space="preserve">” </w:t>
      </w:r>
      <w:r>
        <w:rPr>
          <w:rFonts w:ascii="Times New Roman" w:hAnsi="Times New Roman"/>
          <w:color w:val="000000"/>
          <w:sz w:val="24"/>
        </w:rPr>
        <w:t>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w:t>
      </w:r>
    </w:p>
    <w:p>
      <w:pPr>
        <w:pStyle w:val="TextBody"/>
        <w:bidi w:val="0"/>
        <w:spacing w:before="0" w:after="240"/>
        <w:jc w:val="both"/>
        <w:rPr/>
      </w:pPr>
      <w:r>
        <w:rPr>
          <w:color w:val="000000"/>
        </w:rPr>
        <w:t>“</w:t>
      </w:r>
      <w:r>
        <w:rPr>
          <w:rFonts w:ascii="Times New Roman" w:hAnsi="Times New Roman"/>
          <w:color w:val="000000"/>
          <w:sz w:val="24"/>
          <w:u w:val="single"/>
        </w:rPr>
        <w:t>Fee Letter</w:t>
      </w:r>
      <w:r>
        <w:rPr>
          <w:rFonts w:ascii="Times New Roman" w:hAnsi="Times New Roman"/>
          <w:color w:val="000000"/>
          <w:sz w:val="20"/>
        </w:rPr>
        <w:t xml:space="preserve">” </w:t>
      </w:r>
      <w:r>
        <w:rPr>
          <w:rFonts w:ascii="Times New Roman" w:hAnsi="Times New Roman"/>
          <w:color w:val="000000"/>
          <w:sz w:val="24"/>
        </w:rPr>
        <w:t>means the Amended and Restated Fee Letter, dated as of [____], 2025, among the Borrower, the Servicer and the Administrative Agent, setting forth the Unused Fee Rate, the Upfront Fee and the Applicable Margin.</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means July [25], 2027.</w:t>
      </w:r>
    </w:p>
    <w:p>
      <w:pPr>
        <w:pStyle w:val="TextBody"/>
        <w:bidi w:val="0"/>
        <w:spacing w:before="0" w:after="240"/>
        <w:jc w:val="both"/>
        <w:rPr/>
      </w:pPr>
      <w:r>
        <w:rPr>
          <w:color w:val="000000"/>
        </w:rPr>
        <w:t>“</w:t>
      </w:r>
      <w:r>
        <w:rPr>
          <w:rFonts w:ascii="Times New Roman" w:hAnsi="Times New Roman"/>
          <w:color w:val="000000"/>
          <w:sz w:val="24"/>
          <w:u w:val="single"/>
        </w:rPr>
        <w:t>Financed Vehicle</w:t>
      </w:r>
      <w:r>
        <w:rPr>
          <w:rFonts w:ascii="Times New Roman" w:hAnsi="Times New Roman"/>
          <w:color w:val="000000"/>
          <w:sz w:val="20"/>
        </w:rPr>
        <w:t xml:space="preserve">” </w:t>
      </w:r>
      <w:r>
        <w:rPr>
          <w:rFonts w:ascii="Times New Roman" w:hAnsi="Times New Roman"/>
          <w:color w:val="000000"/>
          <w:sz w:val="24"/>
        </w:rPr>
        <w:t>means, with respect to a Receivable or a Serviced Portfolio Receivable, any new or used automobile, light-duty truck, minivan, sport utility vehicle or other passenger vehicle (including any Eligible Commercial Vehicle), together with all accessions thereto, securing the related Obligor’s Indebtedness thereunder.</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the benchmark rate floor with respect to the Benchmark provided in this Agreement (as of the Closing Date, the modification, amendment or renewal of this Agreement or otherwise), which, as of the Closing Date, is [***]%.</w:t>
      </w:r>
    </w:p>
    <w:p>
      <w:pPr>
        <w:pStyle w:val="TextBody"/>
        <w:bidi w:val="0"/>
        <w:spacing w:before="0" w:after="240"/>
        <w:jc w:val="both"/>
        <w:rPr/>
      </w:pPr>
      <w:r>
        <w:rPr>
          <w:color w:val="000000"/>
        </w:rPr>
        <w:t>“</w:t>
      </w:r>
      <w:r>
        <w:rPr>
          <w:rFonts w:ascii="Times New Roman" w:hAnsi="Times New Roman"/>
          <w:color w:val="000000"/>
          <w:sz w:val="24"/>
          <w:u w:val="single"/>
        </w:rPr>
        <w:t>Formation Documents</w:t>
      </w:r>
      <w:r>
        <w:rPr>
          <w:rFonts w:ascii="Times New Roman" w:hAnsi="Times New Roman"/>
          <w:color w:val="000000"/>
          <w:sz w:val="20"/>
        </w:rPr>
        <w:t xml:space="preserve">” </w:t>
      </w:r>
      <w:r>
        <w:rPr>
          <w:rFonts w:ascii="Times New Roman" w:hAnsi="Times New Roman"/>
          <w:color w:val="000000"/>
          <w:sz w:val="24"/>
        </w:rPr>
        <w:t>means, with respect to (i) the Borrower, the Trust Agreement and certificate of trust and (ii) UACC, its articles of incorporation and bylaws.</w:t>
      </w:r>
    </w:p>
    <w:p>
      <w:pPr>
        <w:pStyle w:val="TextBody"/>
        <w:bidi w:val="0"/>
        <w:spacing w:before="0" w:after="240"/>
        <w:jc w:val="both"/>
        <w:rPr/>
      </w:pPr>
      <w:r>
        <w:rPr>
          <w:color w:val="000000"/>
        </w:rPr>
        <w:t>“</w:t>
      </w:r>
      <w:r>
        <w:rPr>
          <w:rFonts w:ascii="Times New Roman" w:hAnsi="Times New Roman"/>
          <w:color w:val="000000"/>
          <w:sz w:val="24"/>
          <w:u w:val="single"/>
        </w:rPr>
        <w:t>Funding Date</w:t>
      </w:r>
      <w:r>
        <w:rPr>
          <w:rFonts w:ascii="Times New Roman" w:hAnsi="Times New Roman"/>
          <w:color w:val="000000"/>
          <w:sz w:val="20"/>
        </w:rPr>
        <w:t xml:space="preserve">” </w:t>
      </w:r>
      <w:r>
        <w:rPr>
          <w:rFonts w:ascii="Times New Roman" w:hAnsi="Times New Roman"/>
          <w:color w:val="000000"/>
          <w:sz w:val="24"/>
        </w:rPr>
        <w:t>means each Business Day on which a Loan is made and Receivables are added to the Collateral in connection with such Loan.</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Funding Request</w:t>
      </w:r>
      <w:r>
        <w:rPr>
          <w:rFonts w:ascii="Times New Roman" w:hAnsi="Times New Roman"/>
          <w:color w:val="000000"/>
          <w:sz w:val="20"/>
        </w:rPr>
        <w:t xml:space="preserve">” </w:t>
      </w:r>
      <w:r>
        <w:rPr>
          <w:rFonts w:ascii="Times New Roman" w:hAnsi="Times New Roman"/>
          <w:color w:val="000000"/>
          <w:sz w:val="24"/>
        </w:rPr>
        <w:t>means a written notice from the Borrower requesting a Loan and including the items required by Section 2.01(b), substantially in the form of Exhibit A hereto.</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as in effect from time to time in the United States.</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with respect to any Person, any nation or government, any State or other political subdivision thereof, any entity exercising executive, legislative, judicial, regulatory or administrative functions of or pertaining to government, any bank examiner, any central bank or comparable agency and any court or arbitrator having jurisdiction over such Person.</w:t>
      </w:r>
    </w:p>
    <w:p>
      <w:pPr>
        <w:pStyle w:val="TextBody"/>
        <w:bidi w:val="0"/>
        <w:spacing w:before="0" w:after="240"/>
        <w:jc w:val="both"/>
        <w:rPr/>
      </w:pPr>
      <w:r>
        <w:rPr>
          <w:color w:val="000000"/>
        </w:rPr>
        <w:t>“</w:t>
      </w:r>
      <w:r>
        <w:rPr>
          <w:rFonts w:ascii="Times New Roman" w:hAnsi="Times New Roman"/>
          <w:color w:val="000000"/>
          <w:sz w:val="24"/>
          <w:u w:val="single"/>
        </w:rPr>
        <w:t>Hedge Breakage Costs</w:t>
      </w:r>
      <w:r>
        <w:rPr>
          <w:rFonts w:ascii="Times New Roman" w:hAnsi="Times New Roman"/>
          <w:color w:val="000000"/>
          <w:sz w:val="20"/>
        </w:rPr>
        <w:t xml:space="preserve">” </w:t>
      </w:r>
      <w:r>
        <w:rPr>
          <w:rFonts w:ascii="Times New Roman" w:hAnsi="Times New Roman"/>
          <w:color w:val="000000"/>
          <w:sz w:val="24"/>
        </w:rPr>
        <w:t>means, with respect to any Hedge Transaction, any amount payable by the Borrower to the related Hedge Counterparty upon the early termination of such Hedge Transaction or any portion thereof.</w:t>
      </w:r>
    </w:p>
    <w:p>
      <w:pPr>
        <w:pStyle w:val="TextBody"/>
        <w:bidi w:val="0"/>
        <w:spacing w:before="0" w:after="240"/>
        <w:jc w:val="both"/>
        <w:rPr/>
      </w:pPr>
      <w:r>
        <w:rPr>
          <w:color w:val="000000"/>
        </w:rPr>
        <w:t>“</w:t>
      </w:r>
      <w:r>
        <w:rPr>
          <w:rFonts w:ascii="Times New Roman" w:hAnsi="Times New Roman"/>
          <w:color w:val="000000"/>
          <w:sz w:val="24"/>
          <w:u w:val="single"/>
        </w:rPr>
        <w:t>Hedge Collateral</w:t>
      </w:r>
      <w:r>
        <w:rPr>
          <w:rFonts w:ascii="Times New Roman" w:hAnsi="Times New Roman"/>
          <w:color w:val="000000"/>
          <w:sz w:val="20"/>
        </w:rPr>
        <w:t xml:space="preserve">” </w:t>
      </w:r>
      <w:r>
        <w:rPr>
          <w:rFonts w:ascii="Times New Roman" w:hAnsi="Times New Roman"/>
          <w:color w:val="000000"/>
          <w:sz w:val="24"/>
        </w:rPr>
        <w:t>means all of the rights of the Borrower, whether now existing or hereafter acquired, in and to all Hedging Agreements, Hedge Transactions, any amounts on deposit in the Hedge Collateral Accounts, and all present and future amounts payable by all Hedge Counterparties to the Borrower under or in connection with such Hedging Agreements and Hedge Transactions with such Hedge Counterparties.</w:t>
      </w:r>
    </w:p>
    <w:p>
      <w:pPr>
        <w:pStyle w:val="TextBody"/>
        <w:bidi w:val="0"/>
        <w:spacing w:before="0" w:after="240"/>
        <w:jc w:val="both"/>
        <w:rPr/>
      </w:pPr>
      <w:r>
        <w:rPr>
          <w:color w:val="000000"/>
        </w:rPr>
        <w:t>“</w:t>
      </w:r>
      <w:r>
        <w:rPr>
          <w:rFonts w:ascii="Times New Roman" w:hAnsi="Times New Roman"/>
          <w:color w:val="000000"/>
          <w:sz w:val="24"/>
          <w:u w:val="single"/>
        </w:rPr>
        <w:t>Hedge Collateral Account</w:t>
      </w:r>
      <w:r>
        <w:rPr>
          <w:rFonts w:ascii="Times New Roman" w:hAnsi="Times New Roman"/>
          <w:color w:val="000000"/>
          <w:sz w:val="20"/>
        </w:rPr>
        <w:t xml:space="preserve">” </w:t>
      </w:r>
      <w:r>
        <w:rPr>
          <w:rFonts w:ascii="Times New Roman" w:hAnsi="Times New Roman"/>
          <w:color w:val="000000"/>
          <w:sz w:val="24"/>
        </w:rPr>
        <w:t>has the meaning given to such term in Section 6.03(c).</w:t>
      </w:r>
    </w:p>
    <w:p>
      <w:pPr>
        <w:pStyle w:val="TextBody"/>
        <w:bidi w:val="0"/>
        <w:spacing w:before="0" w:after="240"/>
        <w:jc w:val="both"/>
        <w:rPr/>
      </w:pPr>
      <w:r>
        <w:rPr>
          <w:color w:val="000000"/>
        </w:rPr>
        <w:t>“</w:t>
      </w:r>
      <w:r>
        <w:rPr>
          <w:rFonts w:ascii="Times New Roman" w:hAnsi="Times New Roman"/>
          <w:color w:val="000000"/>
          <w:sz w:val="24"/>
          <w:u w:val="single"/>
        </w:rPr>
        <w:t>Hedge Counterparty</w:t>
      </w:r>
      <w:r>
        <w:rPr>
          <w:rFonts w:ascii="Times New Roman" w:hAnsi="Times New Roman"/>
          <w:color w:val="000000"/>
          <w:sz w:val="20"/>
        </w:rPr>
        <w:t xml:space="preserve">” </w:t>
      </w:r>
      <w:r>
        <w:rPr>
          <w:rFonts w:ascii="Times New Roman" w:hAnsi="Times New Roman"/>
          <w:color w:val="000000"/>
          <w:sz w:val="24"/>
        </w:rPr>
        <w:t>means any entity that (i) on the date of entering into any Hedging Agreement, is either a Lender or an Affiliate of a Lender or (ii) on the date of entering into any Hedge Transaction (a) is an interest rate swap dealer that has been approved in writing by the Administrative Agent (which approval shall not be unreasonably withheld), (b) whose debt ratings meet each of the Long-Term Rating Requirement and the Short-Term Rating Requirement and (c) agrees that in the event that Moody’s or Standard &amp; Poor’s reduces its long-term unsecured debt rating below the Long-Term Rating Requirement or its short-term unsecured debt rating below the Short-Term Rating Requirement, it shall (1) transfer its rights and obligations under each Hedge Transaction to another entity that meets the requirements of this definition and has entered into a Hedging Agreement with the Borrower on or prior to the date of such transfer or (2) post collateral in an amount and form and upon such terms as are satisfactory to the Administrative Agent in its sole discretion. Each Hedge Counterparty must consent to the assignment of the Borrower’s rights under the Hedging Agreement to the Administrative Agent pursuant to Section 6.03(b).</w:t>
      </w:r>
    </w:p>
    <w:p>
      <w:pPr>
        <w:pStyle w:val="TextBody"/>
        <w:bidi w:val="0"/>
        <w:spacing w:before="0" w:after="240"/>
        <w:jc w:val="both"/>
        <w:rPr/>
      </w:pPr>
      <w:r>
        <w:rPr>
          <w:color w:val="000000"/>
        </w:rPr>
        <w:t>“</w:t>
      </w:r>
      <w:r>
        <w:rPr>
          <w:rFonts w:ascii="Times New Roman" w:hAnsi="Times New Roman"/>
          <w:color w:val="000000"/>
          <w:sz w:val="24"/>
          <w:u w:val="single"/>
        </w:rPr>
        <w:t>Hedge Transaction</w:t>
      </w:r>
      <w:r>
        <w:rPr>
          <w:rFonts w:ascii="Times New Roman" w:hAnsi="Times New Roman"/>
          <w:color w:val="000000"/>
          <w:sz w:val="20"/>
        </w:rPr>
        <w:t xml:space="preserve">” </w:t>
      </w:r>
      <w:r>
        <w:rPr>
          <w:rFonts w:ascii="Times New Roman" w:hAnsi="Times New Roman"/>
          <w:color w:val="000000"/>
          <w:sz w:val="24"/>
        </w:rPr>
        <w:t>means each transaction between the Borrower and a Hedge Counterparty entered into pursuant to Section 6.03(a), which transaction shall be governed by a Hedging Agreement.</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each agreement between the Borrower and a Hedge Counterparty which governs one or more Hedge Transactions entered into pursuant to Section 6.03(a), which agreement shall be an interest rate cap, interest rate swap or other interest rate hedging agreement evidenced by either (i) a “Master Agreement” in a form published by the International Swaps and Derivatives Association, Inc. (“ISDA”), together with a “Schedule” thereto, any applicable “Credit Support Annex” thereto and each “Confirmation” thereunder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confirming the specific terms of each such Hedge Transaction, in form and substance satisfactory to the Administrative Agent, or (ii) an ISDA long-form confirmation.</w:t>
      </w:r>
    </w:p>
    <w:p>
      <w:pPr>
        <w:pStyle w:val="TextBody"/>
        <w:bidi w:val="0"/>
        <w:spacing w:before="0" w:after="240"/>
        <w:jc w:val="both"/>
        <w:rPr/>
      </w:pPr>
      <w:r>
        <w:rPr>
          <w:color w:val="000000"/>
        </w:rPr>
        <w:t>“</w:t>
      </w:r>
      <w:r>
        <w:rPr>
          <w:rFonts w:ascii="Times New Roman" w:hAnsi="Times New Roman"/>
          <w:color w:val="000000"/>
          <w:sz w:val="24"/>
          <w:u w:val="single"/>
        </w:rPr>
        <w:t>ICA Account Control Agreement</w:t>
      </w:r>
      <w:r>
        <w:rPr>
          <w:rFonts w:ascii="Times New Roman" w:hAnsi="Times New Roman"/>
          <w:color w:val="000000"/>
          <w:sz w:val="20"/>
        </w:rPr>
        <w:t xml:space="preserve">” </w:t>
      </w:r>
      <w:r>
        <w:rPr>
          <w:rFonts w:ascii="Times New Roman" w:hAnsi="Times New Roman"/>
          <w:color w:val="000000"/>
          <w:sz w:val="24"/>
        </w:rPr>
        <w:t>means the Deposit Account Control Agreement relating to the Collateral Account (as defined therein, and subject to the Intercreditor Agreement), dated as of February 2, 2011, among UACC Auto Financing Trust, UACC and [***].</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pStyle w:val="TextBody"/>
        <w:bidi w:val="0"/>
        <w:spacing w:before="0" w:after="240"/>
        <w:jc w:val="both"/>
        <w:rPr/>
      </w:pPr>
      <w:r>
        <w:rPr>
          <w:color w:val="000000"/>
        </w:rPr>
        <w:t>“</w:t>
      </w:r>
      <w:r>
        <w:rPr>
          <w:rFonts w:ascii="Times New Roman" w:hAnsi="Times New Roman"/>
          <w:color w:val="000000"/>
          <w:sz w:val="24"/>
          <w:u w:val="single"/>
        </w:rPr>
        <w:t>Indemnified Amounts</w:t>
      </w:r>
      <w:r>
        <w:rPr>
          <w:rFonts w:ascii="Times New Roman" w:hAnsi="Times New Roman"/>
          <w:color w:val="000000"/>
          <w:sz w:val="20"/>
        </w:rPr>
        <w:t xml:space="preserve">” </w:t>
      </w:r>
      <w:r>
        <w:rPr>
          <w:rFonts w:ascii="Times New Roman" w:hAnsi="Times New Roman"/>
          <w:color w:val="000000"/>
          <w:sz w:val="24"/>
        </w:rPr>
        <w:t>means all Borrower Indemnified Amounts, UACC Indemnified Amounts and Seller Indemnified Amounts.</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means the Borrower Indemnified Parties, UACC Indemnified Parties and the Seller Indemnified Parties.</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(i) Taxes, other than Excluded Taxes, imposed on or with respect to any payment made by or on account of any obligation of the Borrower under the Loan or any Basic Document and (ii) to the extent not otherwise described in (i) Other Taxes.</w:t>
      </w:r>
    </w:p>
    <w:p>
      <w:pPr>
        <w:pStyle w:val="TextBody"/>
        <w:bidi w:val="0"/>
        <w:spacing w:before="0" w:after="240"/>
        <w:jc w:val="both"/>
        <w:rPr/>
      </w:pPr>
      <w:r>
        <w:rPr>
          <w:color w:val="000000"/>
        </w:rPr>
        <w:t>“</w:t>
      </w:r>
      <w:r>
        <w:rPr>
          <w:rFonts w:ascii="Times New Roman" w:hAnsi="Times New Roman"/>
          <w:color w:val="000000"/>
          <w:sz w:val="24"/>
          <w:u w:val="single"/>
        </w:rPr>
        <w:t>Initial Loan</w:t>
      </w:r>
      <w:r>
        <w:rPr>
          <w:rFonts w:ascii="Times New Roman" w:hAnsi="Times New Roman"/>
          <w:color w:val="000000"/>
          <w:sz w:val="20"/>
        </w:rPr>
        <w:t xml:space="preserve">” </w:t>
      </w:r>
      <w:r>
        <w:rPr>
          <w:rFonts w:ascii="Times New Roman" w:hAnsi="Times New Roman"/>
          <w:color w:val="000000"/>
          <w:sz w:val="24"/>
        </w:rPr>
        <w:t>means the first Loan made on or after the Closing Date.</w:t>
      </w:r>
    </w:p>
    <w:p>
      <w:pPr>
        <w:pStyle w:val="TextBody"/>
        <w:bidi w:val="0"/>
        <w:spacing w:before="0" w:after="240"/>
        <w:jc w:val="both"/>
        <w:rPr/>
      </w:pPr>
      <w:r>
        <w:rPr>
          <w:color w:val="000000"/>
        </w:rPr>
        <w:t>“</w:t>
      </w:r>
      <w:r>
        <w:rPr>
          <w:rFonts w:ascii="Times New Roman" w:hAnsi="Times New Roman"/>
          <w:color w:val="000000"/>
          <w:sz w:val="24"/>
          <w:u w:val="single"/>
        </w:rPr>
        <w:t>Insolvency Event</w:t>
      </w:r>
      <w:r>
        <w:rPr>
          <w:rFonts w:ascii="Times New Roman" w:hAnsi="Times New Roman"/>
          <w:color w:val="000000"/>
          <w:sz w:val="20"/>
        </w:rPr>
        <w:t xml:space="preserve">” </w:t>
      </w:r>
      <w:r>
        <w:rPr>
          <w:rFonts w:ascii="Times New Roman" w:hAnsi="Times New Roman"/>
          <w:color w:val="000000"/>
          <w:sz w:val="24"/>
        </w:rPr>
        <w:t>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 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240"/>
        <w:jc w:val="both"/>
        <w:rPr/>
      </w:pPr>
      <w:r>
        <w:rPr>
          <w:color w:val="000000"/>
        </w:rPr>
        <w:t>“</w:t>
      </w:r>
      <w:r>
        <w:rPr>
          <w:rFonts w:ascii="Times New Roman" w:hAnsi="Times New Roman"/>
          <w:color w:val="000000"/>
          <w:sz w:val="24"/>
          <w:u w:val="single"/>
        </w:rPr>
        <w:t>Insolvency Laws</w:t>
      </w:r>
      <w:r>
        <w:rPr>
          <w:rFonts w:ascii="Times New Roman" w:hAnsi="Times New Roman"/>
          <w:color w:val="000000"/>
          <w:sz w:val="20"/>
        </w:rPr>
        <w:t xml:space="preserve">” </w:t>
      </w:r>
      <w:r>
        <w:rPr>
          <w:rFonts w:ascii="Times New Roman" w:hAnsi="Times New Roman"/>
          <w:color w:val="000000"/>
          <w:sz w:val="24"/>
        </w:rPr>
        <w:t>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0"/>
        </w:rPr>
        <w:t xml:space="preserve">” </w:t>
      </w:r>
      <w:r>
        <w:rPr>
          <w:rFonts w:ascii="Times New Roman" w:hAnsi="Times New Roman"/>
          <w:color w:val="000000"/>
          <w:sz w:val="24"/>
        </w:rPr>
        <w:t>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pStyle w:val="TextBody"/>
        <w:bidi w:val="0"/>
        <w:spacing w:before="0" w:after="240"/>
        <w:jc w:val="both"/>
        <w:rPr/>
      </w:pPr>
      <w:r>
        <w:rPr>
          <w:color w:val="000000"/>
        </w:rPr>
        <w:t>“</w:t>
      </w:r>
      <w:r>
        <w:rPr>
          <w:rFonts w:ascii="Times New Roman" w:hAnsi="Times New Roman"/>
          <w:color w:val="000000"/>
          <w:sz w:val="24"/>
          <w:u w:val="single"/>
        </w:rPr>
        <w:t>Instrument</w:t>
      </w:r>
      <w:r>
        <w:rPr>
          <w:rFonts w:ascii="Times New Roman" w:hAnsi="Times New Roman"/>
          <w:color w:val="000000"/>
          <w:sz w:val="20"/>
        </w:rPr>
        <w:t xml:space="preserve">” </w:t>
      </w:r>
      <w:r>
        <w:rPr>
          <w:rFonts w:ascii="Times New Roman" w:hAnsi="Times New Roman"/>
          <w:color w:val="000000"/>
          <w:sz w:val="24"/>
        </w:rPr>
        <w:t>means any “instrument” (as defined in Article 9 of the UCC), other than an instrument that constitutes part of chattel paper.</w:t>
      </w:r>
    </w:p>
    <w:p>
      <w:pPr>
        <w:pStyle w:val="TextBody"/>
        <w:bidi w:val="0"/>
        <w:spacing w:before="0" w:after="240"/>
        <w:jc w:val="both"/>
        <w:rPr/>
      </w:pPr>
      <w:r>
        <w:rPr>
          <w:color w:val="000000"/>
        </w:rPr>
        <w:t>“</w:t>
      </w:r>
      <w:r>
        <w:rPr>
          <w:rFonts w:ascii="Times New Roman" w:hAnsi="Times New Roman"/>
          <w:color w:val="000000"/>
          <w:sz w:val="24"/>
          <w:u w:val="single"/>
        </w:rPr>
        <w:t>Insurance Policy</w:t>
      </w:r>
      <w:r>
        <w:rPr>
          <w:rFonts w:ascii="Times New Roman" w:hAnsi="Times New Roman"/>
          <w:color w:val="000000"/>
          <w:sz w:val="20"/>
        </w:rPr>
        <w:t xml:space="preserve">” </w:t>
      </w:r>
      <w:r>
        <w:rPr>
          <w:rFonts w:ascii="Times New Roman" w:hAnsi="Times New Roman"/>
          <w:color w:val="000000"/>
          <w:sz w:val="24"/>
        </w:rPr>
        <w:t>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pStyle w:val="TextBody"/>
        <w:bidi w:val="0"/>
        <w:spacing w:before="0" w:after="240"/>
        <w:jc w:val="both"/>
        <w:rPr/>
      </w:pPr>
      <w:r>
        <w:rPr>
          <w:color w:val="000000"/>
        </w:rPr>
        <w:t>“</w:t>
      </w:r>
      <w:r>
        <w:rPr>
          <w:rFonts w:ascii="Times New Roman" w:hAnsi="Times New Roman"/>
          <w:color w:val="000000"/>
          <w:sz w:val="24"/>
          <w:u w:val="single"/>
        </w:rPr>
        <w:t>Insurance Proceeds</w:t>
      </w:r>
      <w:r>
        <w:rPr>
          <w:rFonts w:ascii="Times New Roman" w:hAnsi="Times New Roman"/>
          <w:color w:val="000000"/>
          <w:sz w:val="20"/>
        </w:rPr>
        <w:t xml:space="preserve">” </w:t>
      </w:r>
      <w:r>
        <w:rPr>
          <w:rFonts w:ascii="Times New Roman" w:hAnsi="Times New Roman"/>
          <w:color w:val="000000"/>
          <w:sz w:val="24"/>
        </w:rPr>
        <w:t>means any amounts payable or any payments made under any Insurance Policy.</w:t>
      </w:r>
    </w:p>
    <w:p>
      <w:pPr>
        <w:pStyle w:val="TextBody"/>
        <w:bidi w:val="0"/>
        <w:spacing w:before="0" w:after="240"/>
        <w:jc w:val="both"/>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that certain Intercreditor Agreement, dated as of February 2, 2011, among [***], UACC, UACC Auto Financing Trust and each of the intercreditor parties thereto.</w:t>
      </w:r>
    </w:p>
    <w:p>
      <w:pPr>
        <w:pStyle w:val="TextBody"/>
        <w:bidi w:val="0"/>
        <w:spacing w:before="0" w:after="240"/>
        <w:jc w:val="both"/>
        <w:rPr/>
      </w:pPr>
      <w:r>
        <w:rPr>
          <w:color w:val="000000"/>
        </w:rPr>
        <w:t>“</w:t>
      </w:r>
      <w:r>
        <w:rPr>
          <w:rFonts w:ascii="Times New Roman" w:hAnsi="Times New Roman"/>
          <w:color w:val="000000"/>
          <w:sz w:val="24"/>
          <w:u w:val="single"/>
        </w:rPr>
        <w:t>Intercreditor Party Supplement</w:t>
      </w:r>
      <w:r>
        <w:rPr>
          <w:rFonts w:ascii="Times New Roman" w:hAnsi="Times New Roman"/>
          <w:color w:val="000000"/>
          <w:sz w:val="20"/>
        </w:rPr>
        <w:t xml:space="preserve">” </w:t>
      </w:r>
      <w:r>
        <w:rPr>
          <w:rFonts w:ascii="Times New Roman" w:hAnsi="Times New Roman"/>
          <w:color w:val="000000"/>
          <w:sz w:val="24"/>
        </w:rPr>
        <w:t>means the Intercreditor Party Supplement, dated as of the Closing Date, among the Borrower, the Administrative Agent and the parties to the Intercreditor Agreement.</w:t>
      </w:r>
    </w:p>
    <w:p>
      <w:pPr>
        <w:pStyle w:val="TextBody"/>
        <w:bidi w:val="0"/>
        <w:spacing w:before="0" w:after="240"/>
        <w:jc w:val="both"/>
        <w:rPr/>
      </w:pPr>
      <w:r>
        <w:rPr>
          <w:color w:val="000000"/>
        </w:rPr>
        <w:t>“</w:t>
      </w:r>
      <w:r>
        <w:rPr>
          <w:rFonts w:ascii="Times New Roman" w:hAnsi="Times New Roman"/>
          <w:color w:val="000000"/>
          <w:sz w:val="24"/>
          <w:u w:val="single"/>
        </w:rPr>
        <w:t>Interpayments</w:t>
      </w:r>
      <w:r>
        <w:rPr>
          <w:rFonts w:ascii="Times New Roman" w:hAnsi="Times New Roman"/>
          <w:color w:val="000000"/>
          <w:sz w:val="20"/>
        </w:rPr>
        <w:t xml:space="preserve">” </w:t>
      </w:r>
      <w:r>
        <w:rPr>
          <w:rFonts w:ascii="Times New Roman" w:hAnsi="Times New Roman"/>
          <w:color w:val="000000"/>
          <w:sz w:val="24"/>
        </w:rPr>
        <w:t>means Collections on deposit in the Collection Account that are used to repay at least $[***] in principal amount of Loans Outstanding pursuant to Section 2.06(e).</w:t>
      </w:r>
    </w:p>
    <w:p>
      <w:pPr>
        <w:pStyle w:val="TextBody"/>
        <w:bidi w:val="0"/>
        <w:spacing w:before="0" w:after="240"/>
        <w:jc w:val="both"/>
        <w:rPr/>
      </w:pPr>
      <w:r>
        <w:rPr>
          <w:color w:val="000000"/>
        </w:rPr>
        <w:t>“</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color w:val="000000"/>
          <w:sz w:val="24"/>
        </w:rPr>
        <w:t>means, for any Interest Period and each Loan (or portion thereof) outstanding during such Interest Period, interest on the outstanding Principal Amount of such Loan computed pursuant to Section 2.07; provided, however,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Collection Period (or, in the case of the first Payment Date following the Closing Date, from and including the Closing Date to and including the last day of the Collection Period in which the Closing Date occurs); provided, however, that any Interest Period that commences before the Facility Termination Date that would otherwise end after the Facility Termination Date shall end on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Interest Rate</w:t>
      </w:r>
      <w:r>
        <w:rPr>
          <w:rFonts w:ascii="Times New Roman" w:hAnsi="Times New Roman"/>
          <w:color w:val="000000"/>
          <w:sz w:val="20"/>
        </w:rPr>
        <w:t xml:space="preserve">” </w:t>
      </w:r>
      <w:r>
        <w:rPr>
          <w:rFonts w:ascii="Times New Roman" w:hAnsi="Times New Roman"/>
          <w:color w:val="000000"/>
          <w:sz w:val="24"/>
        </w:rPr>
        <w:t xml:space="preserve">means, with respect to any Loan (or portion thereof) on any day, the sum of (i) Term SOFR on such day and (ii) the Applicable Margin; provided, however, that for the avoidance of doubt, upon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 the Interest Rate for each Loan (or portion thereof) shall be a rate per annum equal to the Default Rate.</w:t>
      </w:r>
    </w:p>
    <w:p>
      <w:pPr>
        <w:pStyle w:val="TextBody"/>
        <w:bidi w:val="0"/>
        <w:spacing w:before="0" w:after="240"/>
        <w:jc w:val="both"/>
        <w:rPr/>
      </w:pPr>
      <w:r>
        <w:rPr>
          <w:color w:val="000000"/>
        </w:rPr>
        <w:t>“</w:t>
      </w:r>
      <w:r>
        <w:rPr>
          <w:rFonts w:ascii="Times New Roman" w:hAnsi="Times New Roman"/>
          <w:color w:val="000000"/>
          <w:sz w:val="24"/>
          <w:u w:val="single"/>
        </w:rPr>
        <w:t>Invested Percentage</w:t>
      </w:r>
      <w:r>
        <w:rPr>
          <w:rFonts w:ascii="Times New Roman" w:hAnsi="Times New Roman"/>
          <w:color w:val="000000"/>
          <w:sz w:val="20"/>
        </w:rPr>
        <w:t xml:space="preserve">” </w:t>
      </w:r>
      <w:r>
        <w:rPr>
          <w:rFonts w:ascii="Times New Roman" w:hAnsi="Times New Roman"/>
          <w:color w:val="000000"/>
          <w:sz w:val="24"/>
        </w:rPr>
        <w:t>means, for a Lender on any day, the percentage equivalent of (i) the sum of (a) the portion of the Loans Outstanding (if any) funded by such Lender on or prior to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U.S. Internal Revenue Service.</w:t>
      </w:r>
    </w:p>
    <w:p>
      <w:pPr>
        <w:pStyle w:val="TextBody"/>
        <w:bidi w:val="0"/>
        <w:spacing w:before="0" w:after="240"/>
        <w:jc w:val="both"/>
        <w:rPr/>
      </w:pPr>
      <w:r>
        <w:rPr>
          <w:color w:val="000000"/>
        </w:rPr>
        <w:t>“</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means a Committed Lender, and “</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all of the Committed Lenders.</w:t>
      </w:r>
    </w:p>
    <w:p>
      <w:pPr>
        <w:pStyle w:val="TextBody"/>
        <w:bidi w:val="0"/>
        <w:spacing w:before="0" w:after="240"/>
        <w:jc w:val="both"/>
        <w:rPr/>
      </w:pPr>
      <w:r>
        <w:rPr>
          <w:color w:val="000000"/>
        </w:rPr>
        <w:t>“</w:t>
      </w:r>
      <w:r>
        <w:rPr>
          <w:rFonts w:ascii="Times New Roman" w:hAnsi="Times New Roman"/>
          <w:color w:val="000000"/>
          <w:sz w:val="24"/>
          <w:u w:val="single"/>
        </w:rPr>
        <w:t>Lender Advance</w:t>
      </w:r>
      <w:r>
        <w:rPr>
          <w:rFonts w:ascii="Times New Roman" w:hAnsi="Times New Roman"/>
          <w:color w:val="000000"/>
          <w:sz w:val="20"/>
        </w:rPr>
        <w:t xml:space="preserve">” </w:t>
      </w:r>
      <w:r>
        <w:rPr>
          <w:rFonts w:ascii="Times New Roman" w:hAnsi="Times New Roman"/>
          <w:color w:val="000000"/>
          <w:sz w:val="24"/>
        </w:rPr>
        <w:t>means, with respect to a Committed Lender, such Lender’s Lender Percentage of the Principal Amount of a particular Loan to be made to the Borrower on a Funding Date.</w:t>
      </w:r>
    </w:p>
    <w:p>
      <w:pPr>
        <w:pStyle w:val="TextBody"/>
        <w:bidi w:val="0"/>
        <w:spacing w:before="0" w:after="240"/>
        <w:jc w:val="both"/>
        <w:rPr/>
      </w:pPr>
      <w:r>
        <w:rPr>
          <w:color w:val="000000"/>
        </w:rPr>
        <w:t>“</w:t>
      </w:r>
      <w:r>
        <w:rPr>
          <w:rFonts w:ascii="Times New Roman" w:hAnsi="Times New Roman"/>
          <w:color w:val="000000"/>
          <w:sz w:val="24"/>
          <w:u w:val="single"/>
        </w:rPr>
        <w:t>Lender Percentage</w:t>
      </w:r>
      <w:r>
        <w:rPr>
          <w:rFonts w:ascii="Times New Roman" w:hAnsi="Times New Roman"/>
          <w:color w:val="000000"/>
          <w:sz w:val="20"/>
        </w:rPr>
        <w:t xml:space="preserve">” </w:t>
      </w:r>
      <w:r>
        <w:rPr>
          <w:rFonts w:ascii="Times New Roman" w:hAnsi="Times New Roman"/>
          <w:color w:val="000000"/>
          <w:sz w:val="24"/>
        </w:rPr>
        <w:t>means, with respect to a Committed Lender, its Commitment as a percentage of the Aggregate Commitment.</w:t>
      </w:r>
    </w:p>
    <w:p>
      <w:pPr>
        <w:pStyle w:val="TextBody"/>
        <w:bidi w:val="0"/>
        <w:spacing w:before="0" w:after="240"/>
        <w:jc w:val="both"/>
        <w:rPr/>
      </w:pPr>
      <w:r>
        <w:rPr>
          <w:color w:val="000000"/>
        </w:rPr>
        <w:t>“</w:t>
      </w:r>
      <w:r>
        <w:rPr>
          <w:rFonts w:ascii="Times New Roman" w:hAnsi="Times New Roman"/>
          <w:color w:val="000000"/>
          <w:sz w:val="24"/>
          <w:u w:val="single"/>
        </w:rPr>
        <w:t>Lender Register</w:t>
      </w:r>
      <w:r>
        <w:rPr>
          <w:rFonts w:ascii="Times New Roman" w:hAnsi="Times New Roman"/>
          <w:color w:val="000000"/>
          <w:sz w:val="20"/>
        </w:rPr>
        <w:t xml:space="preserve">” </w:t>
      </w:r>
      <w:r>
        <w:rPr>
          <w:rFonts w:ascii="Times New Roman" w:hAnsi="Times New Roman"/>
          <w:color w:val="000000"/>
          <w:sz w:val="24"/>
        </w:rPr>
        <w:t>has the meaning given to such term in Section 12.01(d).</w:t>
      </w:r>
    </w:p>
    <w:p>
      <w:pPr>
        <w:pStyle w:val="TextBody"/>
        <w:bidi w:val="0"/>
        <w:spacing w:before="0" w:after="240"/>
        <w:jc w:val="both"/>
        <w:rPr/>
      </w:pPr>
      <w:r>
        <w:rPr>
          <w:color w:val="000000"/>
        </w:rPr>
        <w:t>“</w:t>
      </w:r>
      <w:r>
        <w:rPr>
          <w:rFonts w:ascii="Times New Roman" w:hAnsi="Times New Roman"/>
          <w:color w:val="000000"/>
          <w:sz w:val="24"/>
          <w:u w:val="single"/>
        </w:rPr>
        <w:t>Leverage Ratio</w:t>
      </w:r>
      <w:r>
        <w:rPr>
          <w:rFonts w:ascii="Times New Roman" w:hAnsi="Times New Roman"/>
          <w:color w:val="000000"/>
          <w:sz w:val="20"/>
        </w:rPr>
        <w:t xml:space="preserve">” </w:t>
      </w:r>
      <w:r>
        <w:rPr>
          <w:rFonts w:ascii="Times New Roman" w:hAnsi="Times New Roman"/>
          <w:color w:val="000000"/>
          <w:sz w:val="24"/>
        </w:rPr>
        <w:t>means, with respect to any Person as of any day, the ratio of such Person’s total Indebtedness (less the sum of such Person’s (i) unrestricted cash on hand in excess of $[***] and (ii) restricted cash used for any prefunding of Securitizations) to its Tangible Net Worth, in each case, as of the last day of the immediately preceding calendar quarter.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mortgage, lien, pledge, charge, claim, security interest or encumbrance of any kind.</w:t>
      </w:r>
    </w:p>
    <w:p>
      <w:pPr>
        <w:pStyle w:val="TextBody"/>
        <w:bidi w:val="0"/>
        <w:spacing w:before="0" w:after="240"/>
        <w:jc w:val="both"/>
        <w:rPr/>
      </w:pPr>
      <w:r>
        <w:rPr>
          <w:color w:val="000000"/>
        </w:rPr>
        <w:t>“</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has the meaning given to such term in Section 2.01(a).</w:t>
      </w:r>
    </w:p>
    <w:p>
      <w:pPr>
        <w:pStyle w:val="TextBody"/>
        <w:bidi w:val="0"/>
        <w:spacing w:before="0" w:after="240"/>
        <w:jc w:val="both"/>
        <w:rPr/>
      </w:pPr>
      <w:r>
        <w:rPr>
          <w:color w:val="000000"/>
        </w:rPr>
        <w:t>“</w:t>
      </w:r>
      <w:r>
        <w:rPr>
          <w:rFonts w:ascii="Times New Roman" w:hAnsi="Times New Roman"/>
          <w:color w:val="000000"/>
          <w:sz w:val="24"/>
          <w:u w:val="single"/>
        </w:rPr>
        <w:t>Loan-to-Value Ratio (CarStory)</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 Receivable and (ii) the denominator of which is the wholesale trade-in book value of the related Financed Vehicle as determined by the CarStory valuation data (taking into account specific features and mileage of such Financed Vehicle) as of the date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Loan-to-Value Ratio (KBB/NADA)</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(taking into account specific features and mileage of such Financed Vehicle) at the date of origination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Loans Outstanding</w:t>
      </w:r>
      <w:r>
        <w:rPr>
          <w:rFonts w:ascii="Times New Roman" w:hAnsi="Times New Roman"/>
          <w:color w:val="000000"/>
          <w:sz w:val="20"/>
        </w:rPr>
        <w:t xml:space="preserve">” </w:t>
      </w:r>
      <w:r>
        <w:rPr>
          <w:rFonts w:ascii="Times New Roman" w:hAnsi="Times New Roman"/>
          <w:color w:val="000000"/>
          <w:sz w:val="24"/>
        </w:rPr>
        <w:t>means, on any day, the aggregate Principal Amount of Loans made on or prior to such day, reduced from time to time by payments and distributions in respect of principal of such Loans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Local Bank</w:t>
      </w:r>
      <w:r>
        <w:rPr>
          <w:rFonts w:ascii="Times New Roman" w:hAnsi="Times New Roman"/>
          <w:color w:val="000000"/>
          <w:sz w:val="20"/>
        </w:rPr>
        <w:t xml:space="preserve">” </w:t>
      </w:r>
      <w:r>
        <w:rPr>
          <w:rFonts w:ascii="Times New Roman" w:hAnsi="Times New Roman"/>
          <w:color w:val="000000"/>
          <w:sz w:val="24"/>
        </w:rPr>
        <w:t>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pStyle w:val="TextBody"/>
        <w:bidi w:val="0"/>
        <w:spacing w:before="0" w:after="240"/>
        <w:jc w:val="both"/>
        <w:rPr/>
      </w:pPr>
      <w:r>
        <w:rPr>
          <w:color w:val="000000"/>
        </w:rPr>
        <w:t>“</w:t>
      </w:r>
      <w:r>
        <w:rPr>
          <w:rFonts w:ascii="Times New Roman" w:hAnsi="Times New Roman"/>
          <w:color w:val="000000"/>
          <w:sz w:val="24"/>
          <w:u w:val="single"/>
        </w:rPr>
        <w:t>Local Bank Account</w:t>
      </w:r>
      <w:r>
        <w:rPr>
          <w:rFonts w:ascii="Times New Roman" w:hAnsi="Times New Roman"/>
          <w:color w:val="000000"/>
          <w:sz w:val="20"/>
        </w:rPr>
        <w:t xml:space="preserve">” </w:t>
      </w:r>
      <w:r>
        <w:rPr>
          <w:rFonts w:ascii="Times New Roman" w:hAnsi="Times New Roman"/>
          <w:color w:val="000000"/>
          <w:sz w:val="24"/>
        </w:rPr>
        <w:t>means a bank account established and maintained by the Servicer at the Local Bank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Long-Term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long-term unsecured debt rating of not less than A by Standard &amp; Poor’s and not less than A2 by Moody’s.</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 (iv) 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pStyle w:val="TextBody"/>
        <w:bidi w:val="0"/>
        <w:spacing w:before="0" w:after="240"/>
        <w:jc w:val="both"/>
        <w:rPr/>
      </w:pPr>
      <w:r>
        <w:rPr>
          <w:color w:val="000000"/>
        </w:rPr>
        <w:t>“</w:t>
      </w:r>
      <w:r>
        <w:rPr>
          <w:rFonts w:ascii="Times New Roman" w:hAnsi="Times New Roman"/>
          <w:color w:val="000000"/>
          <w:sz w:val="24"/>
          <w:u w:val="single"/>
        </w:rPr>
        <w:t>Maximum Lawful Rate</w:t>
      </w:r>
      <w:r>
        <w:rPr>
          <w:rFonts w:ascii="Times New Roman" w:hAnsi="Times New Roman"/>
          <w:color w:val="000000"/>
          <w:sz w:val="20"/>
        </w:rPr>
        <w:t xml:space="preserve">” </w:t>
      </w:r>
      <w:r>
        <w:rPr>
          <w:rFonts w:ascii="Times New Roman" w:hAnsi="Times New Roman"/>
          <w:color w:val="000000"/>
          <w:sz w:val="24"/>
        </w:rPr>
        <w:t>means the highest rate of interest permissible under Applicable Law.</w:t>
      </w:r>
    </w:p>
    <w:p>
      <w:pPr>
        <w:pStyle w:val="TextBody"/>
        <w:bidi w:val="0"/>
        <w:spacing w:before="0" w:after="240"/>
        <w:jc w:val="both"/>
        <w:rPr/>
      </w:pPr>
      <w:r>
        <w:rPr>
          <w:color w:val="000000"/>
        </w:rPr>
        <w:t>“</w:t>
      </w:r>
      <w:r>
        <w:rPr>
          <w:rFonts w:ascii="Times New Roman" w:hAnsi="Times New Roman"/>
          <w:color w:val="000000"/>
          <w:sz w:val="24"/>
          <w:u w:val="single"/>
        </w:rPr>
        <w:t>Monthly Accrued Interest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of Section 2.08 on such Payment Date and (ii) an amount equal to Interest on the Loans repaid by such Interpayment through the end of the related Interest Period.</w:t>
      </w:r>
    </w:p>
    <w:p>
      <w:pPr>
        <w:pStyle w:val="TextBody"/>
        <w:bidi w:val="0"/>
        <w:spacing w:before="0" w:after="240"/>
        <w:jc w:val="both"/>
        <w:rPr/>
      </w:pPr>
      <w:r>
        <w:rPr>
          <w:color w:val="000000"/>
        </w:rPr>
        <w:t>“</w:t>
      </w:r>
      <w:r>
        <w:rPr>
          <w:rFonts w:ascii="Times New Roman" w:hAnsi="Times New Roman"/>
          <w:color w:val="000000"/>
          <w:sz w:val="24"/>
          <w:u w:val="single"/>
        </w:rPr>
        <w:t>Monthly Backup Servicer Certificate</w:t>
      </w:r>
      <w:r>
        <w:rPr>
          <w:rFonts w:ascii="Times New Roman" w:hAnsi="Times New Roman"/>
          <w:color w:val="000000"/>
          <w:sz w:val="20"/>
        </w:rPr>
        <w:t xml:space="preserve">” </w:t>
      </w:r>
      <w:r>
        <w:rPr>
          <w:rFonts w:ascii="Times New Roman" w:hAnsi="Times New Roman"/>
          <w:color w:val="000000"/>
          <w:sz w:val="24"/>
        </w:rPr>
        <w:t>means a monthly report of the Backup Servicer in the form agreed upon among the Backup Servicer,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Monthly Principal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amount, if any, necessary to reduce the Loans Outstanding to the Borrowing Base as of the last day of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Monthly Report</w:t>
      </w:r>
      <w:r>
        <w:rPr>
          <w:rFonts w:ascii="Times New Roman" w:hAnsi="Times New Roman"/>
          <w:color w:val="000000"/>
          <w:sz w:val="20"/>
        </w:rPr>
        <w:t xml:space="preserve">” </w:t>
      </w:r>
      <w:r>
        <w:rPr>
          <w:rFonts w:ascii="Times New Roman" w:hAnsi="Times New Roman"/>
          <w:color w:val="000000"/>
          <w:sz w:val="24"/>
        </w:rPr>
        <w:t>means a monthly statement of the Servicer delivered on each Reporting Date with respect to the immediately preceding Collection Period, [***], which may be modified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time to time as mutually agreed by the Servicer, the Backup Servicer, the Account Bank and the Administrative Agent.</w:t>
      </w:r>
    </w:p>
    <w:p>
      <w:pPr>
        <w:pStyle w:val="TextBody"/>
        <w:bidi w:val="0"/>
        <w:spacing w:before="0" w:after="240"/>
        <w:jc w:val="left"/>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w:t>
      </w:r>
    </w:p>
    <w:p>
      <w:pPr>
        <w:pStyle w:val="TextBody"/>
        <w:bidi w:val="0"/>
        <w:spacing w:before="0" w:after="240"/>
        <w:jc w:val="both"/>
        <w:rPr/>
      </w:pPr>
      <w:r>
        <w:rPr>
          <w:color w:val="000000"/>
        </w:rPr>
        <w:t>“</w:t>
      </w:r>
      <w:r>
        <w:rPr>
          <w:rFonts w:ascii="Times New Roman" w:hAnsi="Times New Roman"/>
          <w:color w:val="000000"/>
          <w:sz w:val="24"/>
          <w:u w:val="single"/>
        </w:rPr>
        <w:t>Mudrick Capital Facility</w:t>
      </w:r>
      <w:r>
        <w:rPr>
          <w:rFonts w:ascii="Times New Roman" w:hAnsi="Times New Roman"/>
          <w:color w:val="000000"/>
          <w:sz w:val="20"/>
        </w:rPr>
        <w:t xml:space="preserve">” </w:t>
      </w:r>
      <w:r>
        <w:rPr>
          <w:rFonts w:ascii="Times New Roman" w:hAnsi="Times New Roman"/>
          <w:color w:val="000000"/>
          <w:sz w:val="24"/>
        </w:rPr>
        <w:t>means that certain line of credit provided by Mudrick Capital Management, L.P to Vroom, Inc, Darkwater Funding, LLC, and United Auto Credit Corporation pursuant to that certain Loan and Security Agreement dated as of March 8, 2025 with undrawn availability of $[***] as of the Restatement Closing Date.</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pStyle w:val="TextBody"/>
        <w:bidi w:val="0"/>
        <w:spacing w:before="0" w:after="240"/>
        <w:jc w:val="both"/>
        <w:rPr/>
      </w:pPr>
      <w:r>
        <w:rPr>
          <w:color w:val="000000"/>
        </w:rPr>
        <w:t>“</w:t>
      </w:r>
      <w:r>
        <w:rPr>
          <w:rFonts w:ascii="Times New Roman" w:hAnsi="Times New Roman"/>
          <w:color w:val="000000"/>
          <w:sz w:val="24"/>
          <w:u w:val="single"/>
        </w:rPr>
        <w:t>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Net Principal Balance</w:t>
      </w:r>
      <w:r>
        <w:rPr>
          <w:rFonts w:ascii="Times New Roman" w:hAnsi="Times New Roman"/>
          <w:color w:val="000000"/>
          <w:sz w:val="20"/>
        </w:rPr>
        <w:t xml:space="preserve">” </w:t>
      </w:r>
      <w:r>
        <w:rPr>
          <w:rFonts w:ascii="Times New Roman" w:hAnsi="Times New Roman"/>
          <w:color w:val="000000"/>
          <w:sz w:val="24"/>
        </w:rPr>
        <w:t>means on any day with respect to all of the Receivables or a specified portion of the Receivables, as indicated by the context, the aggregate Principal Balance of all such Receivables that are Eligible Receivables.</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means, after its respective Commitment Termination Date, each Committed Lender that has declined to extend such Commitment Termination Date in accordance with Section 2.04, to the extent not replaced pursuant to Section 2.04(b).</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Non-U.S. Lender</w:t>
      </w:r>
      <w:r>
        <w:rPr>
          <w:rFonts w:ascii="Times New Roman" w:hAnsi="Times New Roman"/>
          <w:color w:val="000000"/>
          <w:sz w:val="20"/>
        </w:rPr>
        <w:t xml:space="preserve">” </w:t>
      </w:r>
      <w:r>
        <w:rPr>
          <w:rFonts w:ascii="Times New Roman" w:hAnsi="Times New Roman"/>
          <w:color w:val="000000"/>
          <w:sz w:val="24"/>
        </w:rPr>
        <w:t>means a Lender that is not a “United States person” as defined in Code Section 7701(a)(30).</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has the meaning given to such term in Section 2.05(a).</w:t>
      </w:r>
    </w:p>
    <w:p>
      <w:pPr>
        <w:pStyle w:val="TextBody"/>
        <w:bidi w:val="0"/>
        <w:spacing w:before="0" w:after="240"/>
        <w:jc w:val="both"/>
        <w:rPr/>
      </w:pPr>
      <w:r>
        <w:rPr>
          <w:color w:val="000000"/>
        </w:rPr>
        <w:t>“</w:t>
      </w:r>
      <w:r>
        <w:rPr>
          <w:rFonts w:ascii="Times New Roman" w:hAnsi="Times New Roman"/>
          <w:color w:val="000000"/>
          <w:sz w:val="24"/>
          <w:u w:val="single"/>
        </w:rPr>
        <w:t>NYFRB Rate</w:t>
      </w:r>
      <w:r>
        <w:rPr>
          <w:rFonts w:ascii="Times New Roman" w:hAnsi="Times New Roman"/>
          <w:color w:val="000000"/>
          <w:sz w:val="20"/>
        </w:rPr>
        <w:t xml:space="preserve">” </w:t>
      </w:r>
      <w:r>
        <w:rPr>
          <w:rFonts w:ascii="Times New Roman" w:hAnsi="Times New Roman"/>
          <w:color w:val="000000"/>
          <w:sz w:val="24"/>
        </w:rPr>
        <w:t>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pStyle w:val="TextBody"/>
        <w:bidi w:val="0"/>
        <w:spacing w:before="0" w:after="240"/>
        <w:jc w:val="both"/>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all loans, advances, debts, liabilities, indemnities and obligations for monetary amounts owing by the Borrower to the Secured Parties, the Administrative Agent,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payable pursuant to Section 2.13, Breakage Costs, Hedge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each Person obligated to make payments pursuant to a Receivable or Serviced Portfolio Receivable, including any guarantor thereof.</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U.S. Department of the Treasury’s Office of Foreign Assets Control.</w:t>
      </w:r>
    </w:p>
    <w:p>
      <w:pPr>
        <w:pStyle w:val="TextBody"/>
        <w:bidi w:val="0"/>
        <w:spacing w:before="0" w:after="240"/>
        <w:jc w:val="both"/>
        <w:rPr/>
      </w:pPr>
      <w:r>
        <w:rPr>
          <w:color w:val="000000"/>
        </w:rPr>
        <w:t>“</w:t>
      </w:r>
      <w:r>
        <w:rPr>
          <w:rFonts w:ascii="Times New Roman" w:hAnsi="Times New Roman"/>
          <w:color w:val="000000"/>
          <w:sz w:val="24"/>
          <w:u w:val="single"/>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any officer of the Borrower, the Servicer, the Originator, the Backup Servicer or the Custodian, as the case may be, and delivered to the Administrative Agent.</w:t>
      </w:r>
    </w:p>
    <w:p>
      <w:pPr>
        <w:pStyle w:val="TextBody"/>
        <w:bidi w:val="0"/>
        <w:spacing w:before="0" w:after="240"/>
        <w:jc w:val="both"/>
        <w:rPr/>
      </w:pPr>
      <w:r>
        <w:rPr>
          <w:color w:val="000000"/>
        </w:rPr>
        <w:t>“</w:t>
      </w:r>
      <w:r>
        <w:rPr>
          <w:rFonts w:ascii="Times New Roman" w:hAnsi="Times New Roman"/>
          <w:color w:val="000000"/>
          <w:sz w:val="24"/>
          <w:u w:val="single"/>
        </w:rPr>
        <w:t>Opinion of Counsel</w:t>
      </w:r>
      <w:r>
        <w:rPr>
          <w:rFonts w:ascii="Times New Roman" w:hAnsi="Times New Roman"/>
          <w:color w:val="000000"/>
          <w:sz w:val="20"/>
        </w:rPr>
        <w:t xml:space="preserve">” </w:t>
      </w:r>
      <w:r>
        <w:rPr>
          <w:rFonts w:ascii="Times New Roman" w:hAnsi="Times New Roman"/>
          <w:color w:val="000000"/>
          <w:sz w:val="24"/>
        </w:rPr>
        <w:t>means, with respect to any Person, a written opinion of counsel, who is reasonably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Originator</w:t>
      </w:r>
      <w:r>
        <w:rPr>
          <w:rFonts w:ascii="Times New Roman" w:hAnsi="Times New Roman"/>
          <w:color w:val="000000"/>
          <w:sz w:val="20"/>
        </w:rPr>
        <w:t xml:space="preserve">” </w:t>
      </w:r>
      <w:r>
        <w:rPr>
          <w:rFonts w:ascii="Times New Roman" w:hAnsi="Times New Roman"/>
          <w:color w:val="000000"/>
          <w:sz w:val="24"/>
        </w:rPr>
        <w:t>means UACC.</w:t>
      </w:r>
    </w:p>
    <w:p>
      <w:pPr>
        <w:pStyle w:val="TextBody"/>
        <w:bidi w:val="0"/>
        <w:spacing w:before="0" w:after="240"/>
        <w:jc w:val="both"/>
        <w:rPr/>
      </w:pPr>
      <w:r>
        <w:rPr>
          <w:color w:val="000000"/>
        </w:rPr>
        <w:t>“</w:t>
      </w:r>
      <w:r>
        <w:rPr>
          <w:rFonts w:ascii="Times New Roman" w:hAnsi="Times New Roman"/>
          <w:color w:val="000000"/>
          <w:sz w:val="24"/>
          <w:u w:val="single"/>
        </w:rPr>
        <w:t>Originator Vault Partition</w:t>
      </w:r>
      <w:r>
        <w:rPr>
          <w:rFonts w:ascii="Times New Roman" w:hAnsi="Times New Roman"/>
          <w:color w:val="000000"/>
          <w:sz w:val="20"/>
        </w:rPr>
        <w:t xml:space="preserve">” </w:t>
      </w:r>
      <w:r>
        <w:rPr>
          <w:rFonts w:ascii="Times New Roman" w:hAnsi="Times New Roman"/>
          <w:color w:val="000000"/>
          <w:sz w:val="24"/>
        </w:rPr>
        <w:t>means the segregated partition of the E-Vault System governed by an E-Vault Access Agreement which reflects the owner of record as UACC.</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Other Warehouse Agreements</w:t>
      </w:r>
      <w:r>
        <w:rPr>
          <w:rFonts w:ascii="Times New Roman" w:hAnsi="Times New Roman"/>
          <w:color w:val="000000"/>
          <w:sz w:val="20"/>
        </w:rPr>
        <w:t xml:space="preserve">” </w:t>
      </w:r>
      <w:r>
        <w:rPr>
          <w:rFonts w:ascii="Times New Roman" w:hAnsi="Times New Roman"/>
          <w:color w:val="000000"/>
          <w:sz w:val="24"/>
        </w:rPr>
        <w:t>means all warehouse agreements, credit agreements, funding agreements or similar agreements of UACC and its Affiliates, other than this Agreement, that are secured or collateralized by motor vehicle receivables.</w:t>
      </w:r>
    </w:p>
    <w:p>
      <w:pPr>
        <w:pStyle w:val="TextBody"/>
        <w:bidi w:val="0"/>
        <w:spacing w:before="0" w:after="240"/>
        <w:jc w:val="both"/>
        <w:rPr/>
      </w:pPr>
      <w:r>
        <w:rPr>
          <w:color w:val="000000"/>
        </w:rPr>
        <w:t>“</w:t>
      </w:r>
      <w:r>
        <w:rPr>
          <w:rFonts w:ascii="Times New Roman" w:hAnsi="Times New Roman"/>
          <w:color w:val="000000"/>
          <w:sz w:val="24"/>
          <w:u w:val="single"/>
        </w:rPr>
        <w:t>Overcollateralization Increase Events</w:t>
      </w:r>
      <w:r>
        <w:rPr>
          <w:rFonts w:ascii="Times New Roman" w:hAnsi="Times New Roman"/>
          <w:color w:val="000000"/>
          <w:sz w:val="20"/>
        </w:rPr>
        <w:t xml:space="preserve">” </w:t>
      </w:r>
      <w:r>
        <w:rPr>
          <w:rFonts w:ascii="Times New Roman" w:hAnsi="Times New Roman"/>
          <w:color w:val="000000"/>
          <w:sz w:val="24"/>
        </w:rPr>
        <w:t>means, that as of any Payment Date, any of the following events occurs: (i) the arithmetic mean of the Serviced Portfolio Delinquency Ratio for the related Collection Period and the two previous Collection Periods exceeds [***]%; (ii) the arithmetic mean of the Delinquency Ratio for the related Collection Period and the two previous Collection Periods exceeds [***]%; (iii)(a) with respect to Payment Dates occurring in the months of April through October, the arithmetic mean of the Serviced Portfolio Annualized Net Loss Ratio for the related Collection Period and the two previous Collection Periods exceeds [***]% and (b) with respect to all other Payment Dates, the arithmetic mean of the Serviced Portfolio Annualized Net Loss Ratio for the related Collection Period and the two previous Collection Periods exceeds [***]%; (iv) the UACC Excess Spread Percentage for the related Collection Period is less than [***]% or the Vroom Excess Spread Percentage for the related Collection Period is less than [***]%; (v) the arithmetic mean of the Serviced Portfolio Extension Ratio for the related Collection Period and the two previous Collection Period exceeds [***]%; (vi) the arithmetic mean of the Serviced Portfolio Annualized Default Ratio for the related Collection Period and the two previous Collection Periods exceeds [***]%, (vii)(a) with respect to Payment Dates occurring in the months of April through October, the arithmetic mean of the Annualized Net Loss Ratio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related Collection Period and the two previous Collection Periods exceeds [***]% and (b) with respect to all other Payment Dates, the arithmetic mean of the Annualized Net Loss Ratio for the related Collection Period and the two previous Collection Periods exceeds [***]%; (viii) the arithmetic mean of the Extension Ratio for the related Collection Period and the two previous Collection Period exceeds [***]%; (ix) the arithmetic mean of the Annualized Default Ratio for the related Collection Period and the two previous Collection Periods exceeds [***]% or (x) the failure of the Parent to maintain Available Liquidity equal to or greater than $[***] at any time, including as of any Determination Date; provided that no Overcollateralization Increase Event specified in the foregoing clauses (ii) and (iv) and clauses (vii) through (ix) shall be deemed to have occurred until the Loans Outstanding first exceed $[***] following the Closing Date or any Securitization Date. Notwithstanding the foregoing, any Overcollateralization Increase Event may be cured and deemed not to exist if for three consecutive Payment Dates following a Payment Date on which such Overcollateralization Increase Event occurred, (a) such Overcollateralization Increase Event shall not exist and (b) no other Overcollateralization Increase Event shall have occurred.</w:t>
      </w:r>
    </w:p>
    <w:p>
      <w:pPr>
        <w:pStyle w:val="TextBody"/>
        <w:bidi w:val="0"/>
        <w:spacing w:before="0" w:after="240"/>
        <w:jc w:val="both"/>
        <w:rPr/>
      </w:pPr>
      <w:r>
        <w:rPr>
          <w:color w:val="000000"/>
        </w:rPr>
        <w:t>“</w:t>
      </w:r>
      <w:r>
        <w:rPr>
          <w:rFonts w:ascii="Times New Roman" w:hAnsi="Times New Roman"/>
          <w:color w:val="000000"/>
          <w:sz w:val="24"/>
          <w:u w:val="single"/>
        </w:rPr>
        <w:t>Overcollateralization Percentage</w:t>
      </w:r>
      <w:r>
        <w:rPr>
          <w:rFonts w:ascii="Times New Roman" w:hAnsi="Times New Roman"/>
          <w:color w:val="000000"/>
          <w:sz w:val="20"/>
        </w:rPr>
        <w:t xml:space="preserve">” </w:t>
      </w:r>
      <w:r>
        <w:rPr>
          <w:rFonts w:ascii="Times New Roman" w:hAnsi="Times New Roman"/>
          <w:color w:val="000000"/>
          <w:sz w:val="24"/>
        </w:rPr>
        <w:t>means, as of any date of determination, a fraction, expressed as a percentage, equal to (a) the excess of (x) the Aggregate Net Principal Balance of all Eligible Receivables as of such date over (y) the Loans Outstanding on such date, divided by (b) the Aggregate Net Principal Balance of all Eligible Receivables as of such date.</w:t>
      </w:r>
    </w:p>
    <w:p>
      <w:pPr>
        <w:pStyle w:val="TextBody"/>
        <w:bidi w:val="0"/>
        <w:spacing w:before="0" w:after="240"/>
        <w:jc w:val="both"/>
        <w:rPr/>
      </w:pPr>
      <w:r>
        <w:rPr>
          <w:color w:val="000000"/>
        </w:rPr>
        <w:t>“</w:t>
      </w:r>
      <w:r>
        <w:rPr>
          <w:rFonts w:ascii="Times New Roman" w:hAnsi="Times New Roman"/>
          <w:color w:val="000000"/>
          <w:sz w:val="24"/>
          <w:u w:val="single"/>
        </w:rPr>
        <w:t>Owner Trustee</w:t>
      </w:r>
      <w:r>
        <w:rPr>
          <w:rFonts w:ascii="Times New Roman" w:hAnsi="Times New Roman"/>
          <w:color w:val="000000"/>
          <w:sz w:val="20"/>
        </w:rPr>
        <w:t xml:space="preserve">” </w:t>
      </w:r>
      <w:r>
        <w:rPr>
          <w:rFonts w:ascii="Times New Roman" w:hAnsi="Times New Roman"/>
          <w:color w:val="000000"/>
          <w:sz w:val="24"/>
        </w:rPr>
        <w:t>means [***].</w:t>
      </w:r>
    </w:p>
    <w:p>
      <w:pPr>
        <w:pStyle w:val="TextBody"/>
        <w:bidi w:val="0"/>
        <w:spacing w:before="0" w:after="240"/>
        <w:jc w:val="both"/>
        <w:rPr/>
      </w:pPr>
      <w:r>
        <w:rPr>
          <w:color w:val="000000"/>
        </w:rPr>
        <w:t>“</w:t>
      </w:r>
      <w:r>
        <w:rPr>
          <w:rFonts w:ascii="Times New Roman" w:hAnsi="Times New Roman"/>
          <w:color w:val="000000"/>
          <w:sz w:val="24"/>
          <w:u w:val="single"/>
        </w:rPr>
        <w:t>Owners</w:t>
      </w:r>
      <w:r>
        <w:rPr>
          <w:rFonts w:ascii="Times New Roman" w:hAnsi="Times New Roman"/>
          <w:color w:val="000000"/>
          <w:sz w:val="20"/>
        </w:rPr>
        <w:t xml:space="preserve">” </w:t>
      </w:r>
      <w:r>
        <w:rPr>
          <w:rFonts w:ascii="Times New Roman" w:hAnsi="Times New Roman"/>
          <w:color w:val="000000"/>
          <w:sz w:val="24"/>
        </w:rPr>
        <w:t>means the Lenders that are owners of record of the Notes.</w:t>
      </w:r>
    </w:p>
    <w:p>
      <w:pPr>
        <w:pStyle w:val="TextBody"/>
        <w:bidi w:val="0"/>
        <w:spacing w:before="0" w:after="240"/>
        <w:jc w:val="both"/>
        <w:rPr/>
      </w:pPr>
      <w:r>
        <w:rPr>
          <w:color w:val="000000"/>
        </w:rPr>
        <w:t>“</w:t>
      </w:r>
      <w:r>
        <w:rPr>
          <w:rFonts w:ascii="Times New Roman" w:hAnsi="Times New Roman"/>
          <w:color w:val="000000"/>
          <w:sz w:val="24"/>
          <w:u w:val="single"/>
        </w:rPr>
        <w:t>Paper-In Contract</w:t>
      </w:r>
      <w:r>
        <w:rPr>
          <w:rFonts w:ascii="Times New Roman" w:hAnsi="Times New Roman"/>
          <w:color w:val="000000"/>
          <w:sz w:val="20"/>
        </w:rPr>
        <w:t xml:space="preserve">” </w:t>
      </w:r>
      <w:r>
        <w:rPr>
          <w:rFonts w:ascii="Times New Roman" w:hAnsi="Times New Roman"/>
          <w:color w:val="000000"/>
          <w:sz w:val="24"/>
        </w:rPr>
        <w:t>means a Tangible Contract that has been converted to an Electronic Contract in accordance with the requirements of the E-Vault System.</w:t>
      </w:r>
    </w:p>
    <w:p>
      <w:pPr>
        <w:pStyle w:val="TextBody"/>
        <w:bidi w:val="0"/>
        <w:spacing w:before="0" w:after="240"/>
        <w:jc w:val="both"/>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means Vroom Finance Holdings, LLC, a Delaware limited liability company, and its successors.</w:t>
      </w:r>
    </w:p>
    <w:p>
      <w:pPr>
        <w:pStyle w:val="TextBody"/>
        <w:bidi w:val="0"/>
        <w:spacing w:before="0" w:after="240"/>
        <w:jc w:val="both"/>
        <w:rPr/>
      </w:pPr>
      <w:r>
        <w:rPr>
          <w:color w:val="000000"/>
        </w:rPr>
        <w:t>“</w:t>
      </w:r>
      <w:r>
        <w:rPr>
          <w:rFonts w:ascii="Times New Roman" w:hAnsi="Times New Roman"/>
          <w:color w:val="000000"/>
          <w:sz w:val="24"/>
          <w:u w:val="single"/>
        </w:rPr>
        <w:t>Partial Expiration Event</w:t>
      </w:r>
      <w:r>
        <w:rPr>
          <w:rFonts w:ascii="Times New Roman" w:hAnsi="Times New Roman"/>
          <w:color w:val="000000"/>
          <w:sz w:val="20"/>
        </w:rPr>
        <w:t xml:space="preserve">” </w:t>
      </w:r>
      <w:r>
        <w:rPr>
          <w:rFonts w:ascii="Times New Roman" w:hAnsi="Times New Roman"/>
          <w:color w:val="000000"/>
          <w:sz w:val="24"/>
        </w:rPr>
        <w:t>means the occurrence of the election of one or more Non-Extending Lenders after the Commitment Termination Date to not extend its Commitment, unless such Non-Extending Lender is replaced pursuant to Section 2.04(b) or unless the Termination Date shall have occurred.</w:t>
      </w:r>
    </w:p>
    <w:p>
      <w:pPr>
        <w:pStyle w:val="TextBody"/>
        <w:bidi w:val="0"/>
        <w:spacing w:before="0" w:after="240"/>
        <w:jc w:val="both"/>
        <w:rPr/>
      </w:pPr>
      <w:r>
        <w:rPr>
          <w:color w:val="000000"/>
        </w:rPr>
        <w:t>“</w:t>
      </w:r>
      <w:r>
        <w:rPr>
          <w:rFonts w:ascii="Times New Roman" w:hAnsi="Times New Roman"/>
          <w:color w:val="000000"/>
          <w:sz w:val="24"/>
          <w:u w:val="single"/>
        </w:rPr>
        <w:t>Partial Expiration Event Amount</w:t>
      </w:r>
      <w:r>
        <w:rPr>
          <w:rFonts w:ascii="Times New Roman" w:hAnsi="Times New Roman"/>
          <w:color w:val="000000"/>
          <w:sz w:val="20"/>
        </w:rPr>
        <w:t xml:space="preserve">” </w:t>
      </w:r>
      <w:r>
        <w:rPr>
          <w:rFonts w:ascii="Times New Roman" w:hAnsi="Times New Roman"/>
          <w:color w:val="000000"/>
          <w:sz w:val="24"/>
        </w:rPr>
        <w:t>means the portion of Loans Outstanding payable in connection with a Partial Expiration Event.</w:t>
      </w:r>
    </w:p>
    <w:p>
      <w:pPr>
        <w:pStyle w:val="TextBody"/>
        <w:bidi w:val="0"/>
        <w:spacing w:before="0" w:after="240"/>
        <w:jc w:val="both"/>
        <w:rPr/>
      </w:pPr>
      <w:r>
        <w:rPr>
          <w:color w:val="000000"/>
        </w:rPr>
        <w:t>“</w:t>
      </w:r>
      <w:r>
        <w:rPr>
          <w:rFonts w:ascii="Times New Roman" w:hAnsi="Times New Roman"/>
          <w:color w:val="000000"/>
          <w:sz w:val="24"/>
          <w:u w:val="single"/>
        </w:rPr>
        <w:t>Payment Date</w:t>
      </w:r>
      <w:r>
        <w:rPr>
          <w:rFonts w:ascii="Times New Roman" w:hAnsi="Times New Roman"/>
          <w:color w:val="000000"/>
          <w:sz w:val="20"/>
        </w:rPr>
        <w:t xml:space="preserve">” </w:t>
      </w:r>
      <w:r>
        <w:rPr>
          <w:rFonts w:ascii="Times New Roman" w:hAnsi="Times New Roman"/>
          <w:color w:val="000000"/>
          <w:sz w:val="24"/>
        </w:rPr>
        <w:t>means the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each calendar month or, if any such day is not a Business Day, the next succeeding Business Day, commencing August 12, 2019.</w:t>
      </w:r>
    </w:p>
    <w:p>
      <w:pPr>
        <w:pStyle w:val="TextBody"/>
        <w:bidi w:val="0"/>
        <w:spacing w:before="0" w:after="240"/>
        <w:jc w:val="both"/>
        <w:rPr/>
      </w:pPr>
      <w:r>
        <w:rPr>
          <w:color w:val="000000"/>
        </w:rPr>
        <w:t>“</w:t>
      </w:r>
      <w:r>
        <w:rPr>
          <w:rFonts w:ascii="Times New Roman" w:hAnsi="Times New Roman"/>
          <w:color w:val="000000"/>
          <w:sz w:val="24"/>
          <w:u w:val="single"/>
        </w:rPr>
        <w:t>Payment-to-Income Ratio</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PTI</w:t>
      </w:r>
      <w:r>
        <w:rPr>
          <w:rFonts w:ascii="Times New Roman" w:hAnsi="Times New Roman"/>
          <w:color w:val="000000"/>
          <w:sz w:val="20"/>
        </w:rPr>
        <w:t xml:space="preserve">” </w:t>
      </w:r>
      <w:r>
        <w:rPr>
          <w:rFonts w:ascii="Times New Roman" w:hAnsi="Times New Roman"/>
          <w:color w:val="000000"/>
          <w:sz w:val="24"/>
        </w:rPr>
        <w:t>means, with respect to any Receivable, , as of the related origination date, the ratio (expressed as a percentage) of (i) the scheduled monthly payment due from the related Obligor under such Receivable (including principal and interest, but excluding taxes, insurance, and ancillary fees) to (ii) the gross monthly income of such Obligor as stated in the related credit application or as otherwise verified by the Originator at the time of origination of such Receivable.</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Pension Plans</w:t>
      </w:r>
      <w:r>
        <w:rPr>
          <w:rFonts w:ascii="Times New Roman" w:hAnsi="Times New Roman"/>
          <w:color w:val="000000"/>
          <w:sz w:val="20"/>
        </w:rPr>
        <w:t xml:space="preserve">” </w:t>
      </w:r>
      <w:r>
        <w:rPr>
          <w:rFonts w:ascii="Times New Roman" w:hAnsi="Times New Roman"/>
          <w:color w:val="000000"/>
          <w:sz w:val="24"/>
        </w:rPr>
        <w:t>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of the Borrower, or by the Servicer or any ERISA Affiliate of the Servicer, as applicable, for any of its employees or (b) maintained pursuant to a collective bargaining agreement or any other arrangement under which more than one employer makes contributions and to which the Borrower or any ERISA Affiliate of the Borrower, or to which the Servicer or any ERISA Affiliate of the Servicer, as applicable, is then making or accruing an obligation to make contributions or has within the preceding five plan years made contributions.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 any of the following types of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marketable obligations of the United States, the full and timely payment of which are backed by the full faith and credit of the United States and which have a maturity of not more than [***] days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bankers’ acceptances and certificates of deposit and other interest-bearing obligations (in each case having a maturity of not more than [***] days from the date of acquisition) denominated in Dollars and issued by any bank with capital, surplus and undivided profits aggregating at least $[***], the short-term obligations of which meet or exceed the Short</w:t>
        <w:noBreakHyphen/>
        <w:t>Term Rating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repurchase obligations with a term of not more than [***] days for underlying securities of the types described in clauses (i) and (ii) above entered into with any bank of the type described in clause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commercial paper rated at least A</w:t>
        <w:noBreakHyphen/>
        <w:t>1 by Standard &amp; Poor’s and Prime</w:t>
        <w:noBreakHyphen/>
        <w:t>1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money market funds registered under the Investment Company Act having a rating, at the time of such investment, of not less than Aaa by Moody’s and AAAm by Standard &amp; Poor’s (including any such funds for which the Account Bank in its individual capacity, or any of its Affiliates, receives compensation as administrator, sponsor, agent or the like);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demand deposits, time deposits or certificates of deposit (having original maturities of no more than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noBreakHyphen/>
        <w:t>Term Rating Requirement;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investments approved in writing by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each of the Permitted Investments may be purchased by the Account Bank or through an Affiliate of the Account Bank.</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 maintained, provided that they have been fully reserved for in accordance with GAAP, and (iv) with respect to the Accounts, Liens in favor of the Account Bank.</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pStyle w:val="TextBody"/>
        <w:bidi w:val="0"/>
        <w:spacing w:before="0" w:after="240"/>
        <w:jc w:val="both"/>
        <w:rPr/>
      </w:pPr>
      <w:r>
        <w:rPr>
          <w:color w:val="000000"/>
        </w:rPr>
        <w:t>“</w:t>
      </w:r>
      <w:r>
        <w:rPr>
          <w:rFonts w:ascii="Times New Roman" w:hAnsi="Times New Roman"/>
          <w:color w:val="000000"/>
          <w:sz w:val="24"/>
          <w:u w:val="single"/>
        </w:rPr>
        <w:t>Post Office Box</w:t>
      </w:r>
      <w:r>
        <w:rPr>
          <w:rFonts w:ascii="Times New Roman" w:hAnsi="Times New Roman"/>
          <w:color w:val="000000"/>
          <w:sz w:val="20"/>
        </w:rPr>
        <w:t xml:space="preserve">” </w:t>
      </w:r>
      <w:r>
        <w:rPr>
          <w:rFonts w:ascii="Times New Roman" w:hAnsi="Times New Roman"/>
          <w:color w:val="000000"/>
          <w:sz w:val="24"/>
        </w:rPr>
        <w:t>means one or more post office boxes established and maintained by the Servicer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Post Office Box Processor</w:t>
      </w:r>
      <w:r>
        <w:rPr>
          <w:rFonts w:ascii="Times New Roman" w:hAnsi="Times New Roman"/>
          <w:color w:val="000000"/>
          <w:sz w:val="20"/>
        </w:rPr>
        <w:t xml:space="preserve">” </w:t>
      </w:r>
      <w:r>
        <w:rPr>
          <w:rFonts w:ascii="Times New Roman" w:hAnsi="Times New Roman"/>
          <w:color w:val="000000"/>
          <w:sz w:val="24"/>
        </w:rPr>
        <w:t>means [***] and any other Person that may from time to time perform lockbox services with respect to one or more Post Office Boxes.</w:t>
      </w:r>
    </w:p>
    <w:p>
      <w:pPr>
        <w:pStyle w:val="TextBody"/>
        <w:bidi w:val="0"/>
        <w:spacing w:before="0" w:after="240"/>
        <w:jc w:val="both"/>
        <w:rPr/>
      </w:pPr>
      <w:r>
        <w:rPr>
          <w:color w:val="000000"/>
        </w:rPr>
        <w:t>“</w:t>
      </w:r>
      <w:r>
        <w:rPr>
          <w:rFonts w:ascii="Times New Roman" w:hAnsi="Times New Roman"/>
          <w:color w:val="000000"/>
          <w:sz w:val="24"/>
          <w:u w:val="single"/>
        </w:rPr>
        <w:t>Power of Attorney</w:t>
      </w:r>
      <w:r>
        <w:rPr>
          <w:rFonts w:ascii="Times New Roman" w:hAnsi="Times New Roman"/>
          <w:color w:val="000000"/>
          <w:sz w:val="20"/>
        </w:rPr>
        <w:t xml:space="preserve">” </w:t>
      </w:r>
      <w:r>
        <w:rPr>
          <w:rFonts w:ascii="Times New Roman" w:hAnsi="Times New Roman"/>
          <w:color w:val="000000"/>
          <w:sz w:val="24"/>
        </w:rPr>
        <w:t>means a Power of Attorney of the Borrower appointing the Administrative Agent as its lawful attorney in accordance with Section 9.05, in substantially the form of Exhibit E.</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for any date of determination means the highest rate of interest (or if a range is given, the highest prime rate) published in [***] on such date as constituting the “prime rate” or “base rate” in such publication’s table of [***] or, if [***] is not published on such date, then in [***] most recently published.</w:t>
      </w:r>
    </w:p>
    <w:p>
      <w:pPr>
        <w:pStyle w:val="TextBody"/>
        <w:bidi w:val="0"/>
        <w:spacing w:before="0" w:after="240"/>
        <w:jc w:val="both"/>
        <w:rPr/>
      </w:pPr>
      <w:r>
        <w:rPr>
          <w:color w:val="000000"/>
        </w:rPr>
        <w:t>“</w:t>
      </w:r>
      <w:r>
        <w:rPr>
          <w:rFonts w:ascii="Times New Roman" w:hAnsi="Times New Roman"/>
          <w:color w:val="000000"/>
          <w:sz w:val="24"/>
          <w:u w:val="single"/>
        </w:rPr>
        <w:t>Principal Amount</w:t>
      </w:r>
      <w:r>
        <w:rPr>
          <w:rFonts w:ascii="Times New Roman" w:hAnsi="Times New Roman"/>
          <w:color w:val="000000"/>
          <w:sz w:val="20"/>
        </w:rPr>
        <w:t xml:space="preserve">” </w:t>
      </w:r>
      <w:r>
        <w:rPr>
          <w:rFonts w:ascii="Times New Roman" w:hAnsi="Times New Roman"/>
          <w:color w:val="000000"/>
          <w:sz w:val="24"/>
        </w:rPr>
        <w:t>means, with respect to any Loan, the aggregate amount advanced by the Lenders on the Funding Date in respect of such Loan.</w:t>
      </w:r>
    </w:p>
    <w:p>
      <w:pPr>
        <w:pStyle w:val="TextBody"/>
        <w:bidi w:val="0"/>
        <w:spacing w:before="0" w:after="240"/>
        <w:jc w:val="both"/>
        <w:rPr/>
      </w:pPr>
      <w:r>
        <w:rPr>
          <w:color w:val="000000"/>
        </w:rPr>
        <w:t>“</w:t>
      </w:r>
      <w:r>
        <w:rPr>
          <w:rFonts w:ascii="Times New Roman" w:hAnsi="Times New Roman"/>
          <w:color w:val="000000"/>
          <w:sz w:val="24"/>
          <w:u w:val="single"/>
        </w:rPr>
        <w:t>Principal Balance</w:t>
      </w:r>
      <w:r>
        <w:rPr>
          <w:rFonts w:ascii="Times New Roman" w:hAnsi="Times New Roman"/>
          <w:color w:val="000000"/>
          <w:sz w:val="20"/>
        </w:rPr>
        <w:t xml:space="preserve">” </w:t>
      </w:r>
      <w:r>
        <w:rPr>
          <w:rFonts w:ascii="Times New Roman" w:hAnsi="Times New Roman"/>
          <w:color w:val="000000"/>
          <w:sz w:val="24"/>
        </w:rPr>
        <w:t>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 Release Amount with respect to a Receivable allocable to principal, (iii) any Cram Down Loss and (iv) any prepayment in full or any partial prepayment applied in reduction of principal.</w:t>
      </w:r>
    </w:p>
    <w:p>
      <w:pPr>
        <w:pStyle w:val="TextBody"/>
        <w:bidi w:val="0"/>
        <w:spacing w:before="0" w:after="240"/>
        <w:jc w:val="both"/>
        <w:rPr/>
      </w:pPr>
      <w:r>
        <w:rPr>
          <w:color w:val="000000"/>
        </w:rPr>
        <w:t>“</w:t>
      </w:r>
      <w:r>
        <w:rPr>
          <w:rFonts w:ascii="Times New Roman" w:hAnsi="Times New Roman"/>
          <w:color w:val="000000"/>
          <w:sz w:val="24"/>
          <w:u w:val="single"/>
        </w:rPr>
        <w:t>Purchase Agreement</w:t>
      </w:r>
      <w:r>
        <w:rPr>
          <w:rFonts w:ascii="Times New Roman" w:hAnsi="Times New Roman"/>
          <w:color w:val="000000"/>
          <w:sz w:val="20"/>
        </w:rPr>
        <w:t xml:space="preserve">” </w:t>
      </w:r>
      <w:r>
        <w:rPr>
          <w:rFonts w:ascii="Times New Roman" w:hAnsi="Times New Roman"/>
          <w:color w:val="000000"/>
          <w:sz w:val="24"/>
        </w:rPr>
        <w:t>means the Purchase and Contribution Agreement, dated as of the Closing Date, between UACC and the Borrower, and each Transfer Agreement.</w:t>
      </w:r>
    </w:p>
    <w:p>
      <w:pPr>
        <w:pStyle w:val="TextBody"/>
        <w:bidi w:val="0"/>
        <w:spacing w:before="0" w:after="240"/>
        <w:jc w:val="both"/>
        <w:rPr/>
      </w:pPr>
      <w:r>
        <w:rPr>
          <w:color w:val="000000"/>
        </w:rPr>
        <w:t>“</w:t>
      </w:r>
      <w:r>
        <w:rPr>
          <w:rFonts w:ascii="Times New Roman" w:hAnsi="Times New Roman"/>
          <w:color w:val="000000"/>
          <w:sz w:val="24"/>
          <w:u w:val="single"/>
        </w:rPr>
        <w:t>Qualified Institution</w:t>
      </w:r>
      <w:r>
        <w:rPr>
          <w:rFonts w:ascii="Times New Roman" w:hAnsi="Times New Roman"/>
          <w:color w:val="000000"/>
          <w:sz w:val="20"/>
        </w:rPr>
        <w:t xml:space="preserve">” </w:t>
      </w:r>
      <w:r>
        <w:rPr>
          <w:rFonts w:ascii="Times New Roman" w:hAnsi="Times New Roman"/>
          <w:color w:val="000000"/>
          <w:sz w:val="24"/>
        </w:rPr>
        <w:t>means any depository institution or trust company organized under the laws of the United States or any State (or any domestic branch of a foreign bank), (i) (a)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meets, or the parent of which meets, either (1) the Long-Term Rating Requirement or (2) the Short-Term Rating Requirement or (b) is otherwise acceptable to the Administrative Agent and (ii) whose deposits are insured by the Federal Deposit Insurance Corporation.</w:t>
      </w:r>
    </w:p>
    <w:p>
      <w:pPr>
        <w:pStyle w:val="TextBody"/>
        <w:bidi w:val="0"/>
        <w:spacing w:before="0" w:after="240"/>
        <w:jc w:val="both"/>
        <w:rPr/>
      </w:pPr>
      <w:r>
        <w:rPr>
          <w:color w:val="000000"/>
        </w:rPr>
        <w:t>“</w:t>
      </w:r>
      <w:r>
        <w:rPr>
          <w:rFonts w:ascii="Times New Roman" w:hAnsi="Times New Roman"/>
          <w:color w:val="000000"/>
          <w:sz w:val="24"/>
          <w:u w:val="single"/>
        </w:rPr>
        <w:t>Quarterly Report</w:t>
      </w:r>
      <w:r>
        <w:rPr>
          <w:rFonts w:ascii="Times New Roman" w:hAnsi="Times New Roman"/>
          <w:color w:val="000000"/>
          <w:sz w:val="20"/>
        </w:rPr>
        <w:t xml:space="preserve">” </w:t>
      </w:r>
      <w:r>
        <w:rPr>
          <w:rFonts w:ascii="Times New Roman" w:hAnsi="Times New Roman"/>
          <w:color w:val="000000"/>
          <w:sz w:val="24"/>
        </w:rPr>
        <w:t>means a data tape, which shall include as to each Receivable such information as shall be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Rating Agency</w:t>
      </w:r>
      <w:r>
        <w:rPr>
          <w:rFonts w:ascii="Times New Roman" w:hAnsi="Times New Roman"/>
          <w:color w:val="000000"/>
          <w:sz w:val="20"/>
        </w:rPr>
        <w:t xml:space="preserve">” </w:t>
      </w:r>
      <w:r>
        <w:rPr>
          <w:rFonts w:ascii="Times New Roman" w:hAnsi="Times New Roman"/>
          <w:color w:val="000000"/>
          <w:sz w:val="24"/>
        </w:rPr>
        <w:t>means any nationally recognized statistical ratings organization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Rating Request</w:t>
      </w:r>
      <w:r>
        <w:rPr>
          <w:rFonts w:ascii="Times New Roman" w:hAnsi="Times New Roman"/>
          <w:color w:val="000000"/>
          <w:sz w:val="20"/>
        </w:rPr>
        <w:t xml:space="preserve">” </w:t>
      </w:r>
      <w:r>
        <w:rPr>
          <w:rFonts w:ascii="Times New Roman" w:hAnsi="Times New Roman"/>
          <w:color w:val="000000"/>
          <w:sz w:val="24"/>
        </w:rPr>
        <w:t>means a written request by the Administrative Agent to the Borrower and the Servicer, stating that the Administrative Agent intends to request that one or more Rating Agencies publicly issue a rating of at least the Required Rating to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Reborrowing</w:t>
      </w:r>
      <w:r>
        <w:rPr>
          <w:rFonts w:ascii="Times New Roman" w:hAnsi="Times New Roman"/>
          <w:color w:val="000000"/>
          <w:sz w:val="20"/>
        </w:rPr>
        <w:t xml:space="preserve">” </w:t>
      </w:r>
      <w:r>
        <w:rPr>
          <w:rFonts w:ascii="Times New Roman" w:hAnsi="Times New Roman"/>
          <w:color w:val="000000"/>
          <w:sz w:val="24"/>
        </w:rPr>
        <w:t>means, to the extent that any portion of the Loans has been repaid in connection with a repayment pursuant to Section 2.06 or a Securitization pursuant to Section 2.15, the reborrowing by the Borrower of all or a portion of such repaid amounts otherwise subject to and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pStyle w:val="TextBody"/>
        <w:bidi w:val="0"/>
        <w:spacing w:before="0" w:after="240"/>
        <w:jc w:val="both"/>
        <w:rPr/>
      </w:pPr>
      <w:r>
        <w:rPr>
          <w:color w:val="000000"/>
        </w:rPr>
        <w:t>“</w:t>
      </w:r>
      <w:r>
        <w:rPr>
          <w:rFonts w:ascii="Times New Roman" w:hAnsi="Times New Roman"/>
          <w:color w:val="000000"/>
          <w:sz w:val="24"/>
          <w:u w:val="single"/>
        </w:rPr>
        <w:t>Receivable File</w:t>
      </w:r>
      <w:r>
        <w:rPr>
          <w:rFonts w:ascii="Times New Roman" w:hAnsi="Times New Roman"/>
          <w:color w:val="000000"/>
          <w:sz w:val="20"/>
        </w:rPr>
        <w:t xml:space="preserve">” </w:t>
      </w:r>
      <w:r>
        <w:rPr>
          <w:rFonts w:ascii="Times New Roman" w:hAnsi="Times New Roman"/>
          <w:color w:val="000000"/>
          <w:sz w:val="24"/>
        </w:rPr>
        <w:t>means, with respect to each Receivable and the related Contract, (i) (x) in the case of a Tangible Contract, the original fully executed Contract, (y) in the case of an 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Receivable Receipt</w:t>
      </w:r>
      <w:r>
        <w:rPr>
          <w:rFonts w:ascii="Times New Roman" w:hAnsi="Times New Roman"/>
          <w:color w:val="000000"/>
          <w:sz w:val="20"/>
        </w:rPr>
        <w:t xml:space="preserve">” </w:t>
      </w:r>
      <w:r>
        <w:rPr>
          <w:rFonts w:ascii="Times New Roman" w:hAnsi="Times New Roman"/>
          <w:color w:val="000000"/>
          <w:sz w:val="24"/>
        </w:rPr>
        <w:t>means the receivable receipt substantially in the form attached hereto as Exhibit H executed by the Custodian for the benefit of the Administrative Agent.</w:t>
      </w:r>
    </w:p>
    <w:p>
      <w:pPr>
        <w:pStyle w:val="TextBody"/>
        <w:bidi w:val="0"/>
        <w:spacing w:before="0" w:after="240"/>
        <w:jc w:val="both"/>
        <w:rPr/>
      </w:pPr>
      <w:r>
        <w:rPr>
          <w:color w:val="000000"/>
        </w:rPr>
        <w:t>“</w:t>
      </w:r>
      <w:r>
        <w:rPr>
          <w:rFonts w:ascii="Times New Roman" w:hAnsi="Times New Roman"/>
          <w:color w:val="000000"/>
          <w:sz w:val="24"/>
          <w:u w:val="single"/>
        </w:rPr>
        <w:t>Records</w:t>
      </w:r>
      <w:r>
        <w:rPr>
          <w:rFonts w:ascii="Times New Roman" w:hAnsi="Times New Roman"/>
          <w:color w:val="000000"/>
          <w:sz w:val="20"/>
        </w:rPr>
        <w:t xml:space="preserve">” </w:t>
      </w:r>
      <w:r>
        <w:rPr>
          <w:rFonts w:ascii="Times New Roman" w:hAnsi="Times New Roman"/>
          <w:color w:val="000000"/>
          <w:sz w:val="24"/>
        </w:rPr>
        <w:t>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Recoveries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all monies collected from whatever source during such Collection Period in respect of a Defaulted Receivable, including Insurance Proceeds (but excluding payment of the related Release Price or Release Amount), net of any amounts required by Applicable Law to be remitted to the related Obligor and net of the Servicer’s reasonable out-of-pocket expenses (other than overhead) incurred in connection with the liquidation of such Defaulted Receivable and the related Financed Vehicle, to the extent not previously reimbursed to the Servicer.</w:t>
      </w:r>
    </w:p>
    <w:p>
      <w:pPr>
        <w:pStyle w:val="TextBody"/>
        <w:bidi w:val="0"/>
        <w:spacing w:before="0" w:after="240"/>
        <w:jc w:val="both"/>
        <w:rPr/>
      </w:pPr>
      <w:r>
        <w:rPr>
          <w:color w:val="000000"/>
        </w:rPr>
        <w:t>“</w:t>
      </w:r>
      <w:r>
        <w:rPr>
          <w:rFonts w:ascii="Times New Roman" w:hAnsi="Times New Roman"/>
          <w:color w:val="000000"/>
          <w:sz w:val="24"/>
          <w:u w:val="single"/>
        </w:rPr>
        <w:t>Reference Date</w:t>
      </w:r>
      <w:r>
        <w:rPr>
          <w:rFonts w:ascii="Times New Roman" w:hAnsi="Times New Roman"/>
          <w:color w:val="000000"/>
          <w:sz w:val="20"/>
        </w:rPr>
        <w:t xml:space="preserve">” </w:t>
      </w:r>
      <w:r>
        <w:rPr>
          <w:rFonts w:ascii="Times New Roman" w:hAnsi="Times New Roman"/>
          <w:color w:val="000000"/>
          <w:sz w:val="24"/>
        </w:rPr>
        <w:t>with respect to any setting of the then-current Benchmark means (a) if such Benchmark is Term SOFR, then [***]U.S. Government Securities Business Days prior to such setting and (b) if such Benchmark is not Term SOFR, then the time determined by the Administrative Agent in accordance with the Conforming Changes.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Registrar of Titles</w:t>
      </w:r>
      <w:r>
        <w:rPr>
          <w:rFonts w:ascii="Times New Roman" w:hAnsi="Times New Roman"/>
          <w:color w:val="000000"/>
          <w:sz w:val="20"/>
        </w:rPr>
        <w:t xml:space="preserve">” </w:t>
      </w:r>
      <w:r>
        <w:rPr>
          <w:rFonts w:ascii="Times New Roman" w:hAnsi="Times New Roman"/>
          <w:color w:val="000000"/>
          <w:sz w:val="24"/>
        </w:rPr>
        <w:t>means, with respect to any State, the governmental agency or body responsible for the registration of, and the issuance of certificates of title relating to, motor vehicles and liens thereon.</w:t>
      </w:r>
    </w:p>
    <w:p>
      <w:pPr>
        <w:pStyle w:val="TextBody"/>
        <w:bidi w:val="0"/>
        <w:spacing w:before="0" w:after="240"/>
        <w:jc w:val="both"/>
        <w:rPr/>
      </w:pPr>
      <w:r>
        <w:rPr>
          <w:color w:val="000000"/>
        </w:rPr>
        <w:t>“</w:t>
      </w:r>
      <w:r>
        <w:rPr>
          <w:rFonts w:ascii="Times New Roman" w:hAnsi="Times New Roman"/>
          <w:color w:val="000000"/>
          <w:sz w:val="24"/>
          <w:u w:val="single"/>
        </w:rPr>
        <w:t>Regulation AB</w:t>
      </w:r>
      <w:r>
        <w:rPr>
          <w:rFonts w:ascii="Times New Roman" w:hAnsi="Times New Roman"/>
          <w:color w:val="000000"/>
          <w:sz w:val="20"/>
        </w:rPr>
        <w:t xml:space="preserve">” </w:t>
      </w:r>
      <w:r>
        <w:rPr>
          <w:rFonts w:ascii="Times New Roman" w:hAnsi="Times New Roman"/>
          <w:color w:val="000000"/>
          <w:sz w:val="24"/>
        </w:rPr>
        <w:t>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jc w:val="both"/>
        <w:rPr/>
      </w:pPr>
      <w:r>
        <w:rPr>
          <w:color w:val="000000"/>
        </w:rPr>
        <w:t>“</w:t>
      </w:r>
      <w:r>
        <w:rPr>
          <w:rFonts w:ascii="Times New Roman" w:hAnsi="Times New Roman"/>
          <w:color w:val="000000"/>
          <w:sz w:val="24"/>
          <w:u w:val="single"/>
        </w:rPr>
        <w:t>Release Amount</w:t>
      </w:r>
      <w:r>
        <w:rPr>
          <w:rFonts w:ascii="Times New Roman" w:hAnsi="Times New Roman"/>
          <w:color w:val="000000"/>
          <w:sz w:val="20"/>
        </w:rPr>
        <w:t xml:space="preserve">” </w:t>
      </w:r>
      <w:r>
        <w:rPr>
          <w:rFonts w:ascii="Times New Roman" w:hAnsi="Times New Roman"/>
          <w:color w:val="000000"/>
          <w:sz w:val="24"/>
        </w:rPr>
        <w:t>means, as of the related Release Date, the deposit amount for a retransfer of Receivables under Section 5.04(b), in an amount equal to (i) the related Aggregate Unpaids minus (ii) the related amount, if any, available in the Collection Account and the Reserve Account on such Payment Date.</w:t>
      </w:r>
    </w:p>
    <w:p>
      <w:pPr>
        <w:pStyle w:val="TextBody"/>
        <w:bidi w:val="0"/>
        <w:spacing w:before="0" w:after="240"/>
        <w:jc w:val="both"/>
        <w:rPr/>
      </w:pPr>
      <w:r>
        <w:rPr>
          <w:color w:val="000000"/>
        </w:rPr>
        <w:t>“</w:t>
      </w:r>
      <w:r>
        <w:rPr>
          <w:rFonts w:ascii="Times New Roman" w:hAnsi="Times New Roman"/>
          <w:color w:val="000000"/>
          <w:sz w:val="24"/>
          <w:u w:val="single"/>
        </w:rPr>
        <w:t>Release Date</w:t>
      </w:r>
      <w:r>
        <w:rPr>
          <w:rFonts w:ascii="Times New Roman" w:hAnsi="Times New Roman"/>
          <w:color w:val="000000"/>
          <w:sz w:val="20"/>
        </w:rPr>
        <w:t xml:space="preserve">” </w:t>
      </w:r>
      <w:r>
        <w:rPr>
          <w:rFonts w:ascii="Times New Roman" w:hAnsi="Times New Roman"/>
          <w:color w:val="000000"/>
          <w:sz w:val="24"/>
        </w:rPr>
        <w:t>means a Payment Date specified by the Borrower in connection with the retransfer of the Receivables under Section 5.04(b).</w:t>
      </w:r>
    </w:p>
    <w:p>
      <w:pPr>
        <w:pStyle w:val="TextBody"/>
        <w:bidi w:val="0"/>
        <w:spacing w:before="0" w:after="240"/>
        <w:jc w:val="both"/>
        <w:rPr/>
      </w:pPr>
      <w:r>
        <w:rPr>
          <w:color w:val="000000"/>
        </w:rPr>
        <w:t>“</w:t>
      </w:r>
      <w:r>
        <w:rPr>
          <w:rFonts w:ascii="Times New Roman" w:hAnsi="Times New Roman"/>
          <w:color w:val="000000"/>
          <w:sz w:val="24"/>
          <w:u w:val="single"/>
        </w:rPr>
        <w:t>Release Price</w:t>
      </w:r>
      <w:r>
        <w:rPr>
          <w:rFonts w:ascii="Times New Roman" w:hAnsi="Times New Roman"/>
          <w:color w:val="000000"/>
          <w:sz w:val="20"/>
        </w:rPr>
        <w:t xml:space="preserve">” </w:t>
      </w:r>
      <w:r>
        <w:rPr>
          <w:rFonts w:ascii="Times New Roman" w:hAnsi="Times New Roman"/>
          <w:color w:val="000000"/>
          <w:sz w:val="24"/>
        </w:rPr>
        <w:t>means an amount equal to the Principal Balance of each Receivable retransferred or repurchased pursuant to Section 5.04(a) or (b), plus accrued interest on such Receivable (at the related APR) through the date of such retransfer or repurchase, all Breakage Costs, if any, arising out of or relating to such retransfer or repurchase, and all Hedge Breakage Costs, if any, due to the relevant Hedge Counterparties for any termination in whole or in part of one or more transactions related to the relevant Hedging Agreement, as required by the terms of any Hedging Agreement as a result of such retransfer or repurchase.</w:t>
      </w:r>
    </w:p>
    <w:p>
      <w:pPr>
        <w:pStyle w:val="TextBody"/>
        <w:bidi w:val="0"/>
        <w:spacing w:before="0" w:after="240"/>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0"/>
        </w:rPr>
        <w:t xml:space="preserve">” </w:t>
      </w:r>
      <w:r>
        <w:rPr>
          <w:rFonts w:ascii="Times New Roman" w:hAnsi="Times New Roman"/>
          <w:color w:val="000000"/>
          <w:sz w:val="24"/>
        </w:rPr>
        <w:t>means any of the events set forth in Section 4043(c) of ERISA for which the 30-day notice provision has not been waived.</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Reporting Date</w:t>
      </w:r>
      <w:r>
        <w:rPr>
          <w:rFonts w:ascii="Times New Roman" w:hAnsi="Times New Roman"/>
          <w:color w:val="000000"/>
          <w:sz w:val="20"/>
        </w:rPr>
        <w:t xml:space="preserve">” </w:t>
      </w:r>
      <w:r>
        <w:rPr>
          <w:rFonts w:ascii="Times New Roman" w:hAnsi="Times New Roman"/>
          <w:color w:val="000000"/>
          <w:sz w:val="24"/>
        </w:rPr>
        <w:t>means the date which is [***] Business Days prior to any Payment Date.</w:t>
      </w:r>
    </w:p>
    <w:p>
      <w:pPr>
        <w:pStyle w:val="TextBody"/>
        <w:bidi w:val="0"/>
        <w:spacing w:before="0" w:after="240"/>
        <w:jc w:val="both"/>
        <w:rPr/>
      </w:pPr>
      <w:r>
        <w:rPr>
          <w:color w:val="000000"/>
        </w:rPr>
        <w:t>“</w:t>
      </w:r>
      <w:r>
        <w:rPr>
          <w:rFonts w:ascii="Times New Roman" w:hAnsi="Times New Roman"/>
          <w:color w:val="000000"/>
          <w:sz w:val="24"/>
          <w:u w:val="single"/>
        </w:rPr>
        <w:t>Repurchased UACST Receivables</w:t>
      </w:r>
      <w:r>
        <w:rPr>
          <w:rFonts w:ascii="Times New Roman" w:hAnsi="Times New Roman"/>
          <w:color w:val="000000"/>
          <w:sz w:val="20"/>
        </w:rPr>
        <w:t xml:space="preserve">” </w:t>
      </w:r>
      <w:r>
        <w:rPr>
          <w:rFonts w:ascii="Times New Roman" w:hAnsi="Times New Roman"/>
          <w:color w:val="000000"/>
          <w:sz w:val="24"/>
        </w:rPr>
        <w:t>means Receivables repurchased by UACC or an Affiliate of UACC from a UACST Securitization in which all of the issued and previously outstanding securities have been paid in full.</w:t>
      </w:r>
    </w:p>
    <w:p>
      <w:pPr>
        <w:pStyle w:val="TextBody"/>
        <w:bidi w:val="0"/>
        <w:spacing w:before="0" w:after="240"/>
        <w:jc w:val="both"/>
        <w:rPr/>
      </w:pPr>
      <w:r>
        <w:rPr>
          <w:color w:val="000000"/>
        </w:rPr>
        <w:t>“</w:t>
      </w:r>
      <w:r>
        <w:rPr>
          <w:rFonts w:ascii="Times New Roman" w:hAnsi="Times New Roman"/>
          <w:color w:val="000000"/>
          <w:sz w:val="24"/>
          <w:u w:val="single"/>
        </w:rPr>
        <w:t>Required Hedging Period</w:t>
      </w:r>
      <w:r>
        <w:rPr>
          <w:rFonts w:ascii="Times New Roman" w:hAnsi="Times New Roman"/>
          <w:color w:val="000000"/>
          <w:sz w:val="20"/>
        </w:rPr>
        <w:t xml:space="preserve">” </w:t>
      </w:r>
      <w:r>
        <w:rPr>
          <w:rFonts w:ascii="Times New Roman" w:hAnsi="Times New Roman"/>
          <w:color w:val="000000"/>
          <w:sz w:val="24"/>
        </w:rPr>
        <w:t>means the period commencing [***] days after the occurrence of an Overcollateralization Increase Event resulting from the breach of the UACC Excess Spread Percentage or Vroom Excess Spread Percentage, as applicable, and ending on the earlier of (i) the date on which such Overcollateralization Increase Event has been cured or waived and (ii) the Termination Date.</w:t>
      </w:r>
    </w:p>
    <w:p>
      <w:pPr>
        <w:pStyle w:val="TextBody"/>
        <w:bidi w:val="0"/>
        <w:spacing w:before="0" w:after="240"/>
        <w:jc w:val="both"/>
        <w:rPr/>
      </w:pPr>
      <w:r>
        <w:rPr>
          <w:color w:val="000000"/>
        </w:rPr>
        <w:t>“</w:t>
      </w:r>
      <w:r>
        <w:rPr>
          <w:rFonts w:ascii="Times New Roman" w:hAnsi="Times New Roman"/>
          <w:color w:val="000000"/>
          <w:sz w:val="24"/>
          <w:u w:val="single"/>
        </w:rPr>
        <w:t>Required Legend</w:t>
      </w:r>
      <w:r>
        <w:rPr>
          <w:rFonts w:ascii="Times New Roman" w:hAnsi="Times New Roman"/>
          <w:color w:val="000000"/>
          <w:sz w:val="20"/>
        </w:rPr>
        <w:t xml:space="preserve">” </w:t>
      </w:r>
      <w:r>
        <w:rPr>
          <w:rFonts w:ascii="Times New Roman" w:hAnsi="Times New Roman"/>
          <w:color w:val="000000"/>
          <w:sz w:val="24"/>
        </w:rPr>
        <w:t>means a legend applied by the E-Vault System to every page of a Contract which identifies the owner of Record as “UACC Auto Financing Trust V, with [***], as Administrative Agent, as secured party through its designated custodian, United Auto Credit Corporation”.</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means at a particular time, Lenders with aggregate Commitments in excess of [***]% of the Aggregate Commitment.</w:t>
      </w:r>
    </w:p>
    <w:p>
      <w:pPr>
        <w:pStyle w:val="TextBody"/>
        <w:bidi w:val="0"/>
        <w:spacing w:before="0" w:after="240"/>
        <w:jc w:val="both"/>
        <w:rPr/>
      </w:pPr>
      <w:r>
        <w:rPr>
          <w:color w:val="000000"/>
        </w:rPr>
        <w:t>“</w:t>
      </w:r>
      <w:r>
        <w:rPr>
          <w:rFonts w:ascii="Times New Roman" w:hAnsi="Times New Roman"/>
          <w:color w:val="000000"/>
          <w:sz w:val="24"/>
          <w:u w:val="single"/>
        </w:rPr>
        <w:t>Required Rating</w:t>
      </w:r>
      <w:r>
        <w:rPr>
          <w:rFonts w:ascii="Times New Roman" w:hAnsi="Times New Roman"/>
          <w:color w:val="000000"/>
          <w:sz w:val="20"/>
        </w:rPr>
        <w:t xml:space="preserve">” </w:t>
      </w:r>
      <w:r>
        <w:rPr>
          <w:rFonts w:ascii="Times New Roman" w:hAnsi="Times New Roman"/>
          <w:color w:val="000000"/>
          <w:sz w:val="24"/>
        </w:rPr>
        <w:t>means, with respect to any Rating Agency, a long-term unsecured debt rating of BBB or its equivalent issued by such Rating Agency.</w:t>
      </w:r>
    </w:p>
    <w:p>
      <w:pPr>
        <w:pStyle w:val="TextBody"/>
        <w:bidi w:val="0"/>
        <w:spacing w:before="0" w:after="240"/>
        <w:jc w:val="both"/>
        <w:rPr/>
      </w:pPr>
      <w:r>
        <w:rPr>
          <w:color w:val="000000"/>
        </w:rPr>
        <w:t>“</w:t>
      </w:r>
      <w:r>
        <w:rPr>
          <w:rFonts w:ascii="Times New Roman" w:hAnsi="Times New Roman"/>
          <w:color w:val="000000"/>
          <w:sz w:val="24"/>
          <w:u w:val="single"/>
        </w:rPr>
        <w:t>Requirements of Law</w:t>
      </w:r>
      <w:r>
        <w:rPr>
          <w:rFonts w:ascii="Times New Roman" w:hAnsi="Times New Roman"/>
          <w:color w:val="000000"/>
          <w:sz w:val="20"/>
        </w:rPr>
        <w:t xml:space="preserve">” </w:t>
      </w:r>
      <w:r>
        <w:rPr>
          <w:rFonts w:ascii="Times New Roman" w:hAnsi="Times New Roman"/>
          <w:color w:val="000000"/>
          <w:sz w:val="24"/>
        </w:rPr>
        <w:t>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w:t>
      </w:r>
      <w:r>
        <w:rPr>
          <w:rFonts w:ascii="Times New Roman" w:hAnsi="Times New Roman"/>
          <w:color w:val="000000"/>
          <w:sz w:val="20"/>
        </w:rPr>
        <w:t xml:space="preserve"> </w:t>
      </w:r>
      <w:r>
        <w:rPr>
          <w:rFonts w:ascii="Times New Roman" w:hAnsi="Times New Roman"/>
          <w:color w:val="000000"/>
          <w:sz w:val="24"/>
        </w:rPr>
        <w:t>upon such Person or to which such Person is subject, whether federal, State or local (including usury laws, the Federal Truth in Lending Act, Regulations U and T of the Federal Reserve Board and Regulations B, X and Z of the Consumer Financial Protection Bureau).</w:t>
      </w:r>
    </w:p>
    <w:p>
      <w:pPr>
        <w:pStyle w:val="TextBody"/>
        <w:bidi w:val="0"/>
        <w:spacing w:before="0" w:after="240"/>
        <w:jc w:val="both"/>
        <w:rPr/>
      </w:pPr>
      <w:r>
        <w:rPr>
          <w:color w:val="000000"/>
        </w:rPr>
        <w:t>“</w:t>
      </w:r>
      <w:r>
        <w:rPr>
          <w:rFonts w:ascii="Times New Roman" w:hAnsi="Times New Roman"/>
          <w:color w:val="000000"/>
          <w:sz w:val="24"/>
          <w:u w:val="single"/>
        </w:rPr>
        <w:t>Reserve Account</w:t>
      </w:r>
      <w:r>
        <w:rPr>
          <w:rFonts w:ascii="Times New Roman" w:hAnsi="Times New Roman"/>
          <w:color w:val="000000"/>
          <w:sz w:val="20"/>
        </w:rPr>
        <w:t xml:space="preserve">” </w:t>
      </w:r>
      <w:r>
        <w:rPr>
          <w:rFonts w:ascii="Times New Roman" w:hAnsi="Times New Roman"/>
          <w:color w:val="000000"/>
          <w:sz w:val="24"/>
        </w:rPr>
        <w:t>means a segregated account established by the Servicer with the Account Bank, for the benefit of the Secured Parties.</w:t>
      </w:r>
    </w:p>
    <w:p>
      <w:pPr>
        <w:pStyle w:val="TextBody"/>
        <w:bidi w:val="0"/>
        <w:spacing w:before="0" w:after="240"/>
        <w:jc w:val="both"/>
        <w:rPr/>
      </w:pPr>
      <w:r>
        <w:rPr>
          <w:color w:val="000000"/>
        </w:rPr>
        <w:t>“</w:t>
      </w:r>
      <w:r>
        <w:rPr>
          <w:rFonts w:ascii="Times New Roman" w:hAnsi="Times New Roman"/>
          <w:color w:val="000000"/>
          <w:sz w:val="24"/>
          <w:u w:val="single"/>
        </w:rPr>
        <w:t>Reserve Account Amount</w:t>
      </w:r>
      <w:r>
        <w:rPr>
          <w:rFonts w:ascii="Times New Roman" w:hAnsi="Times New Roman"/>
          <w:color w:val="000000"/>
          <w:sz w:val="20"/>
        </w:rPr>
        <w:t xml:space="preserve">” </w:t>
      </w:r>
      <w:r>
        <w:rPr>
          <w:rFonts w:ascii="Times New Roman" w:hAnsi="Times New Roman"/>
          <w:color w:val="000000"/>
          <w:sz w:val="24"/>
        </w:rPr>
        <w:t>means on any day, the amount on deposit in the Reserve Account.</w:t>
      </w:r>
    </w:p>
    <w:p>
      <w:pPr>
        <w:pStyle w:val="TextBody"/>
        <w:bidi w:val="0"/>
        <w:spacing w:before="0" w:after="240"/>
        <w:jc w:val="both"/>
        <w:rPr/>
      </w:pPr>
      <w:r>
        <w:rPr>
          <w:color w:val="000000"/>
        </w:rPr>
        <w:t>“</w:t>
      </w:r>
      <w:r>
        <w:rPr>
          <w:rFonts w:ascii="Times New Roman" w:hAnsi="Times New Roman"/>
          <w:color w:val="000000"/>
          <w:sz w:val="24"/>
          <w:u w:val="single"/>
        </w:rPr>
        <w:t>Reserve Account Required Amount</w:t>
      </w:r>
      <w:r>
        <w:rPr>
          <w:rFonts w:ascii="Times New Roman" w:hAnsi="Times New Roman"/>
          <w:color w:val="000000"/>
          <w:sz w:val="20"/>
        </w:rPr>
        <w:t xml:space="preserve">” </w:t>
      </w:r>
      <w:r>
        <w:rPr>
          <w:rFonts w:ascii="Times New Roman" w:hAnsi="Times New Roman"/>
          <w:color w:val="000000"/>
          <w:sz w:val="24"/>
        </w:rPr>
        <w:t>means, on any day, if the Loans Outstanding are (i) $[***], $[***] and (ii) greater than $[***], the greater of (a) $[***] and (b) the product of (1) [***]% and (2) the highest aggregate Principal Balance of the Receivables included in the Collateral since the later of the Closing Date or the most recent Securitization Date.</w:t>
      </w:r>
    </w:p>
    <w:p>
      <w:pPr>
        <w:pStyle w:val="TextBody"/>
        <w:bidi w:val="0"/>
        <w:spacing w:before="0" w:after="240"/>
        <w:jc w:val="both"/>
        <w:rPr/>
      </w:pPr>
      <w:r>
        <w:rPr>
          <w:color w:val="000000"/>
        </w:rPr>
        <w:t>“</w:t>
      </w:r>
      <w:r>
        <w:rPr>
          <w:rFonts w:ascii="Times New Roman" w:hAnsi="Times New Roman"/>
          <w:color w:val="000000"/>
          <w:sz w:val="24"/>
          <w:u w:val="single"/>
        </w:rPr>
        <w:t>Reserve Account Withdrawal Amount</w:t>
      </w:r>
      <w:r>
        <w:rPr>
          <w:rFonts w:ascii="Times New Roman" w:hAnsi="Times New Roman"/>
          <w:color w:val="000000"/>
          <w:sz w:val="20"/>
        </w:rPr>
        <w:t xml:space="preserve">” </w:t>
      </w:r>
      <w:r>
        <w:rPr>
          <w:rFonts w:ascii="Times New Roman" w:hAnsi="Times New Roman"/>
          <w:color w:val="000000"/>
          <w:sz w:val="24"/>
        </w:rPr>
        <w:t>means, with respect to any Payment Date (i) during the Revolving Period on which an Available Funds Shortfall exists, an amount equal to the lesser of (a) the Reserve Account Amount and (b) the Available Funds Shortfall and (ii) following the occurrence of the Termination Date, the Reserve Account Amount.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when used with respect to (i) any Person other than the Borrower, any officer of such Person, including any president, vice president, executive vice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pStyle w:val="TextBody"/>
        <w:bidi w:val="0"/>
        <w:spacing w:before="0" w:after="240"/>
        <w:jc w:val="both"/>
        <w:rPr/>
      </w:pPr>
      <w:r>
        <w:rPr>
          <w:color w:val="000000"/>
        </w:rPr>
        <w:t>“</w:t>
      </w:r>
      <w:r>
        <w:rPr>
          <w:rFonts w:ascii="Times New Roman" w:hAnsi="Times New Roman"/>
          <w:color w:val="000000"/>
          <w:sz w:val="24"/>
          <w:u w:val="single"/>
        </w:rPr>
        <w:t>Restatement Closing Date</w:t>
      </w:r>
      <w:r>
        <w:rPr>
          <w:rFonts w:ascii="Times New Roman" w:hAnsi="Times New Roman"/>
          <w:color w:val="000000"/>
          <w:sz w:val="20"/>
        </w:rPr>
        <w:t xml:space="preserve">” </w:t>
      </w:r>
      <w:r>
        <w:rPr>
          <w:rFonts w:ascii="Times New Roman" w:hAnsi="Times New Roman"/>
          <w:color w:val="000000"/>
          <w:sz w:val="24"/>
        </w:rPr>
        <w:t>means August 29, 2025.</w:t>
      </w:r>
    </w:p>
    <w:p>
      <w:pPr>
        <w:pStyle w:val="TextBody"/>
        <w:bidi w:val="0"/>
        <w:spacing w:before="0" w:after="240"/>
        <w:jc w:val="both"/>
        <w:rPr/>
      </w:pPr>
      <w:r>
        <w:rPr>
          <w:color w:val="000000"/>
        </w:rPr>
        <w:t>“</w:t>
      </w:r>
      <w:r>
        <w:rPr>
          <w:rFonts w:ascii="Times New Roman" w:hAnsi="Times New Roman"/>
          <w:color w:val="000000"/>
          <w:sz w:val="24"/>
          <w:u w:val="single"/>
        </w:rPr>
        <w:t>Revolving Period</w:t>
      </w:r>
      <w:r>
        <w:rPr>
          <w:rFonts w:ascii="Times New Roman" w:hAnsi="Times New Roman"/>
          <w:color w:val="000000"/>
          <w:sz w:val="20"/>
        </w:rPr>
        <w:t xml:space="preserve">” </w:t>
      </w:r>
      <w:r>
        <w:rPr>
          <w:rFonts w:ascii="Times New Roman" w:hAnsi="Times New Roman"/>
          <w:color w:val="000000"/>
          <w:sz w:val="24"/>
        </w:rPr>
        <w:t>means the period commencing on the Restatement Closing Date and ending on the earlier to occur of (i) the Commitment Termination Date and (ii) the day immediately preceding the Termination Date.</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or territory which is the subject or target of any Sanctions broadly restricting or prohibiting dealings with such country or territory (as of the date of this Agreement, the Sanctioned Countries include the Crimea region of Ukraine and the countries of Cuba, Iran, North Korea and Syria).</w:t>
      </w:r>
    </w:p>
    <w:p>
      <w:pPr>
        <w:pStyle w:val="TextBody"/>
        <w:bidi w:val="0"/>
        <w:spacing w:before="0" w:after="240"/>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at any time, any Person, or Person acting on behalf of any Person, with whom dealings are restricted or prohibited under Sanctions, including (a) any Person named on any Sanctions-related the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economic or financial sanctions or trade embargoes imposed, administered or enforced from time to time by (a) the U.S. government, including those administered by OFAC, the U.S. Department of Commerce, or the U.S. Department of State (b) the United Nations Security Council, the European Union or Her Majesty’s Treasury of the United Kingdom, or (c) any other similar sanctions imposed by a governmental body to which the Borrower or Servicer, or any of the Borrower or Servicer’s Subsidiaries and/or Affiliates are subject, as applicable.</w:t>
      </w:r>
    </w:p>
    <w:p>
      <w:pPr>
        <w:pStyle w:val="TextBody"/>
        <w:bidi w:val="0"/>
        <w:spacing w:before="0" w:after="240"/>
        <w:jc w:val="both"/>
        <w:rPr/>
      </w:pPr>
      <w:r>
        <w:rPr>
          <w:color w:val="000000"/>
        </w:rPr>
        <w:t>“</w:t>
      </w:r>
      <w:r>
        <w:rPr>
          <w:rFonts w:ascii="Times New Roman" w:hAnsi="Times New Roman"/>
          <w:color w:val="000000"/>
          <w:sz w:val="24"/>
          <w:u w:val="single"/>
        </w:rPr>
        <w:t>Schedule of Receivables</w:t>
      </w:r>
      <w:r>
        <w:rPr>
          <w:rFonts w:ascii="Times New Roman" w:hAnsi="Times New Roman"/>
          <w:color w:val="000000"/>
          <w:sz w:val="20"/>
        </w:rPr>
        <w:t xml:space="preserve">” </w:t>
      </w:r>
      <w:r>
        <w:rPr>
          <w:rFonts w:ascii="Times New Roman" w:hAnsi="Times New Roman"/>
          <w:color w:val="000000"/>
          <w:sz w:val="24"/>
        </w:rPr>
        <w:t>means the schedule of Receivables attached hereto as Schedule C, as updated from time to time in connection with each Funding Request.</w:t>
      </w:r>
    </w:p>
    <w:p>
      <w:pPr>
        <w:pStyle w:val="TextBody"/>
        <w:bidi w:val="0"/>
        <w:spacing w:before="0" w:after="240"/>
        <w:jc w:val="both"/>
        <w:rPr/>
      </w:pPr>
      <w:r>
        <w:rPr>
          <w:color w:val="000000"/>
        </w:rPr>
        <w:t>“</w:t>
      </w:r>
      <w:r>
        <w:rPr>
          <w:rFonts w:ascii="Times New Roman" w:hAnsi="Times New Roman"/>
          <w:color w:val="000000"/>
          <w:sz w:val="24"/>
          <w:u w:val="single"/>
        </w:rPr>
        <w:t>Scheduled Payments</w:t>
      </w:r>
      <w:r>
        <w:rPr>
          <w:rFonts w:ascii="Times New Roman" w:hAnsi="Times New Roman"/>
          <w:color w:val="000000"/>
          <w:sz w:val="20"/>
        </w:rPr>
        <w:t xml:space="preserve">” </w:t>
      </w:r>
      <w:r>
        <w:rPr>
          <w:rFonts w:ascii="Times New Roman" w:hAnsi="Times New Roman"/>
          <w:color w:val="000000"/>
          <w:sz w:val="24"/>
        </w:rPr>
        <w:t>means regularly scheduled payments to be made by an Obligor pursuant to the terms of the related Contract.</w:t>
      </w:r>
    </w:p>
    <w:p>
      <w:pPr>
        <w:pStyle w:val="TextBody"/>
        <w:bidi w:val="0"/>
        <w:spacing w:before="0" w:after="240"/>
        <w:jc w:val="both"/>
        <w:rPr/>
      </w:pPr>
      <w:r>
        <w:rPr>
          <w:color w:val="000000"/>
        </w:rPr>
        <w:t>“</w:t>
      </w:r>
      <w:r>
        <w:rPr>
          <w:rFonts w:ascii="Times New Roman" w:hAnsi="Times New Roman"/>
          <w:color w:val="000000"/>
          <w:sz w:val="24"/>
          <w:u w:val="single"/>
        </w:rPr>
        <w:t>Secured Party</w:t>
      </w:r>
      <w:r>
        <w:rPr>
          <w:rFonts w:ascii="Times New Roman" w:hAnsi="Times New Roman"/>
          <w:color w:val="000000"/>
          <w:sz w:val="20"/>
        </w:rPr>
        <w:t xml:space="preserve">” </w:t>
      </w:r>
      <w:r>
        <w:rPr>
          <w:rFonts w:ascii="Times New Roman" w:hAnsi="Times New Roman"/>
          <w:color w:val="000000"/>
          <w:sz w:val="24"/>
        </w:rPr>
        <w:t>means (i) the Administrative Agent, (ii) each Lender and (iii) each Hedge Counterparty.</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u w:val="single"/>
        </w:rPr>
        <w:t>Securitization</w:t>
      </w:r>
      <w:r>
        <w:rPr>
          <w:rFonts w:ascii="Times New Roman" w:hAnsi="Times New Roman"/>
          <w:color w:val="000000"/>
          <w:sz w:val="20"/>
        </w:rPr>
        <w:t xml:space="preserve">” </w:t>
      </w:r>
      <w:r>
        <w:rPr>
          <w:rFonts w:ascii="Times New Roman" w:hAnsi="Times New Roman"/>
          <w:color w:val="000000"/>
          <w:sz w:val="24"/>
        </w:rPr>
        <w:t>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Securitization Date</w:t>
      </w:r>
      <w:r>
        <w:rPr>
          <w:rFonts w:ascii="Times New Roman" w:hAnsi="Times New Roman"/>
          <w:color w:val="000000"/>
          <w:sz w:val="20"/>
        </w:rPr>
        <w:t xml:space="preserve">” </w:t>
      </w:r>
      <w:r>
        <w:rPr>
          <w:rFonts w:ascii="Times New Roman" w:hAnsi="Times New Roman"/>
          <w:color w:val="000000"/>
          <w:sz w:val="24"/>
        </w:rPr>
        <w:t>means the date upon which a Securitization is consummated.</w:t>
      </w:r>
    </w:p>
    <w:p>
      <w:pPr>
        <w:pStyle w:val="TextBody"/>
        <w:bidi w:val="0"/>
        <w:spacing w:before="0" w:after="240"/>
        <w:jc w:val="both"/>
        <w:rPr/>
      </w:pPr>
      <w:r>
        <w:rPr>
          <w:color w:val="000000"/>
        </w:rPr>
        <w:t>“</w:t>
      </w:r>
      <w:r>
        <w:rPr>
          <w:rFonts w:ascii="Times New Roman" w:hAnsi="Times New Roman"/>
          <w:color w:val="000000"/>
          <w:sz w:val="24"/>
          <w:u w:val="single"/>
        </w:rPr>
        <w:t>Securitization Date Certificate</w:t>
      </w:r>
      <w:r>
        <w:rPr>
          <w:rFonts w:ascii="Times New Roman" w:hAnsi="Times New Roman"/>
          <w:color w:val="000000"/>
          <w:sz w:val="20"/>
        </w:rPr>
        <w:t xml:space="preserve">” </w:t>
      </w:r>
      <w:r>
        <w:rPr>
          <w:rFonts w:ascii="Times New Roman" w:hAnsi="Times New Roman"/>
          <w:color w:val="000000"/>
          <w:sz w:val="24"/>
        </w:rPr>
        <w:t xml:space="preserve">means a certificate, substantially in the form attached as Annex 1 to </w:t>
      </w:r>
      <w:r>
        <w:rPr>
          <w:rFonts w:ascii="Times New Roman" w:hAnsi="Times New Roman"/>
          <w:color w:val="000000"/>
          <w:sz w:val="24"/>
          <w:u w:val="single"/>
        </w:rPr>
        <w:t>Exhibit I</w:t>
      </w:r>
      <w:r>
        <w:rPr>
          <w:rFonts w:ascii="Times New Roman" w:hAnsi="Times New Roman"/>
          <w:color w:val="000000"/>
          <w:sz w:val="20"/>
        </w:rPr>
        <w:t xml:space="preserve"> </w:t>
      </w:r>
      <w:r>
        <w:rPr>
          <w:rFonts w:ascii="Times New Roman" w:hAnsi="Times New Roman"/>
          <w:color w:val="000000"/>
          <w:sz w:val="24"/>
        </w:rPr>
        <w:t>hereto, delivered by an Authorized Officer of the Borrower on a Securitization Date indicating that the requirements set forth in this Agreement for a Securitization have been satisfied.</w:t>
      </w:r>
    </w:p>
    <w:p>
      <w:pPr>
        <w:pStyle w:val="TextBody"/>
        <w:bidi w:val="0"/>
        <w:spacing w:before="0" w:after="240"/>
        <w:jc w:val="both"/>
        <w:rPr/>
      </w:pPr>
      <w:r>
        <w:rPr>
          <w:color w:val="000000"/>
        </w:rPr>
        <w:t>“</w:t>
      </w:r>
      <w:r>
        <w:rPr>
          <w:rFonts w:ascii="Times New Roman" w:hAnsi="Times New Roman"/>
          <w:color w:val="000000"/>
          <w:sz w:val="24"/>
          <w:u w:val="single"/>
        </w:rPr>
        <w:t>Securitization Release</w:t>
      </w:r>
      <w:r>
        <w:rPr>
          <w:rFonts w:ascii="Times New Roman" w:hAnsi="Times New Roman"/>
          <w:color w:val="000000"/>
          <w:sz w:val="20"/>
        </w:rPr>
        <w:t xml:space="preserve">” </w:t>
      </w:r>
      <w:r>
        <w:rPr>
          <w:rFonts w:ascii="Times New Roman" w:hAnsi="Times New Roman"/>
          <w:color w:val="000000"/>
          <w:sz w:val="24"/>
        </w:rPr>
        <w:t xml:space="preserve">means a release executed pursuant to </w:t>
      </w:r>
      <w:r>
        <w:rPr>
          <w:rFonts w:ascii="Times New Roman" w:hAnsi="Times New Roman"/>
          <w:color w:val="000000"/>
          <w:sz w:val="24"/>
          <w:u w:val="single"/>
        </w:rPr>
        <w:t>Section 2.15</w:t>
      </w:r>
      <w:r>
        <w:rPr>
          <w:rFonts w:ascii="Times New Roman" w:hAnsi="Times New Roman"/>
          <w:color w:val="000000"/>
          <w:sz w:val="24"/>
        </w:rPr>
        <w:t xml:space="preserve">, substantially in the form of </w:t>
      </w:r>
      <w:r>
        <w:rPr>
          <w:rFonts w:ascii="Times New Roman" w:hAnsi="Times New Roman"/>
          <w:color w:val="000000"/>
          <w:sz w:val="24"/>
          <w:u w:val="single"/>
        </w:rPr>
        <w:t>Exhibit I</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pPr>
      <w:r>
        <w:rPr>
          <w:color w:val="000000"/>
        </w:rPr>
        <w:t>“</w:t>
      </w:r>
      <w:r>
        <w:rPr>
          <w:rFonts w:ascii="Times New Roman" w:hAnsi="Times New Roman"/>
          <w:color w:val="000000"/>
          <w:sz w:val="24"/>
          <w:u w:val="single"/>
        </w:rPr>
        <w:t>Seller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Seller Indemnified Parties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Serviced Portfolio</w:t>
      </w:r>
      <w:r>
        <w:rPr>
          <w:rFonts w:ascii="Times New Roman" w:hAnsi="Times New Roman"/>
          <w:color w:val="000000"/>
          <w:sz w:val="20"/>
        </w:rPr>
        <w:t xml:space="preserve">” </w:t>
      </w:r>
      <w:r>
        <w:rPr>
          <w:rFonts w:ascii="Times New Roman" w:hAnsi="Times New Roman"/>
          <w:color w:val="000000"/>
          <w:sz w:val="24"/>
        </w:rPr>
        <w:t>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pStyle w:val="TextBody"/>
        <w:bidi w:val="0"/>
        <w:spacing w:before="0" w:after="240"/>
        <w:jc w:val="both"/>
        <w:rPr/>
      </w:pPr>
      <w:r>
        <w:rPr>
          <w:color w:val="000000"/>
        </w:rPr>
        <w:t>“</w:t>
      </w:r>
      <w:r>
        <w:rPr>
          <w:rFonts w:ascii="Times New Roman" w:hAnsi="Times New Roman"/>
          <w:color w:val="000000"/>
          <w:sz w:val="24"/>
          <w:u w:val="single"/>
        </w:rPr>
        <w:t>Serviced Portfolio Annualized Default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Principal Balance of all Serviced Portfolio Receivables that became Serviced Portfolio Defaulted Receivables during such Collection Period and (b) the denominator of which equals the aggregate Principal Balance of all Serviced Portfolio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Serviced Portfolio Annualized Net Loss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Serviced Portfolio Net Losses for such Collection Period and (b) the denominator of which equals the aggregate Principal Balance of all Serviced Portfolio Receivables 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Serviced Portfolio Defaulted Receivable</w:t>
      </w:r>
      <w:r>
        <w:rPr>
          <w:rFonts w:ascii="Times New Roman" w:hAnsi="Times New Roman"/>
          <w:color w:val="000000"/>
          <w:sz w:val="20"/>
        </w:rPr>
        <w:t xml:space="preserve">” </w:t>
      </w:r>
      <w:r>
        <w:rPr>
          <w:rFonts w:ascii="Times New Roman" w:hAnsi="Times New Roman"/>
          <w:color w:val="000000"/>
          <w:sz w:val="24"/>
        </w:rPr>
        <w:t>means any Serviced Portfolio Receivable (i) with respect to which more than [***]% of any scheduled monthly payment remains unpaid for more than [***] days after the related due date as of any Determination Date, (ii) with respect to which [***] days have elapsed since the related Financed Vehicle was repossessed and any applicable redemption period has expired or (iii) that is a Charged-off Receivable.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Serviced Portfolio Delinquent Receivables as of the last day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Collection Period and (ii) the denominator of which equals the aggregate Principal Balance of all Serviced Portfolio Receivables as of such last day.</w:t>
      </w:r>
    </w:p>
    <w:p>
      <w:pPr>
        <w:pStyle w:val="TextBody"/>
        <w:bidi w:val="0"/>
        <w:spacing w:before="0" w:after="240"/>
        <w:jc w:val="both"/>
        <w:rPr/>
      </w:pPr>
      <w:r>
        <w:rPr>
          <w:color w:val="000000"/>
        </w:rPr>
        <w:t>“</w:t>
      </w:r>
      <w:r>
        <w:rPr>
          <w:rFonts w:ascii="Times New Roman" w:hAnsi="Times New Roman"/>
          <w:color w:val="000000"/>
          <w:sz w:val="24"/>
          <w:u w:val="single"/>
        </w:rPr>
        <w:t>Serviced Portfolio Delinquent Receivable</w:t>
      </w:r>
      <w:r>
        <w:rPr>
          <w:rFonts w:ascii="Times New Roman" w:hAnsi="Times New Roman"/>
          <w:color w:val="000000"/>
          <w:sz w:val="20"/>
        </w:rPr>
        <w:t xml:space="preserve">” </w:t>
      </w:r>
      <w:r>
        <w:rPr>
          <w:rFonts w:ascii="Times New Roman" w:hAnsi="Times New Roman"/>
          <w:color w:val="000000"/>
          <w:sz w:val="24"/>
        </w:rPr>
        <w:t>means any Serviced Portfolio Receivable (i) in respect of which more than [***]% of any scheduled monthly payment remains unpaid for more than [***] days after the related due date as of any Determination Date, (ii) that is not a Serviced Portfolio Defaulted Receivable and (iii) that is not a Receivable for which the related vehicle has been repossessed.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Extended Receivable</w:t>
      </w:r>
      <w:r>
        <w:rPr>
          <w:rFonts w:ascii="Times New Roman" w:hAnsi="Times New Roman"/>
          <w:color w:val="000000"/>
          <w:sz w:val="20"/>
        </w:rPr>
        <w:t xml:space="preserve">” </w:t>
      </w:r>
      <w:r>
        <w:rPr>
          <w:rFonts w:ascii="Times New Roman" w:hAnsi="Times New Roman"/>
          <w:color w:val="000000"/>
          <w:sz w:val="24"/>
        </w:rPr>
        <w:t>means any Serviced Portfolio Receivable for which an extension or payment deferment was made (or is in effect) pursuant to the Credit and Collection Policy.</w:t>
      </w:r>
    </w:p>
    <w:p>
      <w:pPr>
        <w:pStyle w:val="TextBody"/>
        <w:bidi w:val="0"/>
        <w:spacing w:before="0" w:after="240"/>
        <w:jc w:val="both"/>
        <w:rPr/>
      </w:pPr>
      <w:r>
        <w:rPr>
          <w:color w:val="000000"/>
        </w:rPr>
        <w:t>“</w:t>
      </w:r>
      <w:r>
        <w:rPr>
          <w:rFonts w:ascii="Times New Roman" w:hAnsi="Times New Roman"/>
          <w:color w:val="000000"/>
          <w:sz w:val="24"/>
          <w:u w:val="single"/>
        </w:rPr>
        <w:t>Serviced Portfolio Extension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Serviced Portfolio Receivables that were Serviced Portfolio Extended Receivables during such Collection Period and (ii) the denominator of which equals the daily average aggregate Principal Balance of all Serviced Portfolio Receivables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Serviced Portfolio Net Loss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Serviced Portfolio Receivable</w:t>
      </w:r>
      <w:r>
        <w:rPr>
          <w:rFonts w:ascii="Times New Roman" w:hAnsi="Times New Roman"/>
          <w:color w:val="000000"/>
          <w:sz w:val="20"/>
        </w:rPr>
        <w:t xml:space="preserve">” </w:t>
      </w:r>
      <w:r>
        <w:rPr>
          <w:rFonts w:ascii="Times New Roman" w:hAnsi="Times New Roman"/>
          <w:color w:val="000000"/>
          <w:sz w:val="24"/>
        </w:rPr>
        <w:t>means any motor vehicle receivable included in the Serviced Portfolio.</w:t>
      </w:r>
    </w:p>
    <w:p>
      <w:pPr>
        <w:pStyle w:val="TextBody"/>
        <w:bidi w:val="0"/>
        <w:spacing w:before="0" w:after="240"/>
        <w:jc w:val="both"/>
        <w:rPr/>
      </w:pPr>
      <w:r>
        <w:rPr>
          <w:color w:val="000000"/>
        </w:rPr>
        <w:t>“</w:t>
      </w:r>
      <w:r>
        <w:rPr>
          <w:rFonts w:ascii="Times New Roman" w:hAnsi="Times New Roman"/>
          <w:color w:val="000000"/>
          <w:sz w:val="24"/>
          <w:u w:val="single"/>
        </w:rPr>
        <w:t>Serviced Portfolio Recoveries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all monies collected from whatever source during such Collection Period in respect of such Serviced Portfolio Defaulted Receivables, including insurance proceeds, net of any amounts required by Applicable Law to be remitted to the related Obligor and net of the Servicer’s expenses (other than overhead) incurred in connection with the liquidation of such Serviced Portfolio Defaulted Receivables and the related Financed Vehicles, to the extent not previously reimbursed to the Servicer.</w:t>
      </w:r>
    </w:p>
    <w:p>
      <w:pPr>
        <w:pStyle w:val="TextBody"/>
        <w:bidi w:val="0"/>
        <w:spacing w:before="0" w:after="240"/>
        <w:jc w:val="both"/>
        <w:rPr/>
      </w:pPr>
      <w:r>
        <w:rPr>
          <w:color w:val="000000"/>
        </w:rPr>
        <w:t>“</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Servicer Basic Documents</w:t>
      </w:r>
      <w:r>
        <w:rPr>
          <w:rFonts w:ascii="Times New Roman" w:hAnsi="Times New Roman"/>
          <w:color w:val="000000"/>
          <w:sz w:val="20"/>
        </w:rPr>
        <w:t xml:space="preserve">” </w:t>
      </w:r>
      <w:r>
        <w:rPr>
          <w:rFonts w:ascii="Times New Roman" w:hAnsi="Times New Roman"/>
          <w:color w:val="000000"/>
          <w:sz w:val="24"/>
        </w:rPr>
        <w:t>means all Basic Documents to which the Servicer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Servicer File</w:t>
      </w:r>
      <w:r>
        <w:rPr>
          <w:rFonts w:ascii="Times New Roman" w:hAnsi="Times New Roman"/>
          <w:color w:val="000000"/>
          <w:sz w:val="20"/>
        </w:rPr>
        <w:t xml:space="preserve">” </w:t>
      </w:r>
      <w:r>
        <w:rPr>
          <w:rFonts w:ascii="Times New Roman" w:hAnsi="Times New Roman"/>
          <w:color w:val="000000"/>
          <w:sz w:val="24"/>
        </w:rPr>
        <w:t>means, with respect to a Receivable, each of the following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Servicer 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Servicing Fee</w:t>
      </w:r>
      <w:r>
        <w:rPr>
          <w:rFonts w:ascii="Times New Roman" w:hAnsi="Times New Roman"/>
          <w:color w:val="000000"/>
          <w:sz w:val="20"/>
        </w:rPr>
        <w:t xml:space="preserve">” </w:t>
      </w:r>
      <w:r>
        <w:rPr>
          <w:rFonts w:ascii="Times New Roman" w:hAnsi="Times New Roman"/>
          <w:color w:val="000000"/>
          <w:sz w:val="24"/>
        </w:rPr>
        <w:t>means the fee payable to the Servicer on each Payment Date in accordance with Section 2.12(b) in an amount equal to the product of (i) one-twelfth, (ii) the Servicing Fee Rate and (iii) the daily average aggregate Principal Balance of the Receivables during the related Collection Period; provided, that if UACC is no longer the Servicer, the “Servicing Fee” shall be adjusted by the Administrative Agent at the request of the Servicer to reflect the then market rates for the servicing of motor vehicles receivables similar to the Receivables.</w:t>
      </w:r>
    </w:p>
    <w:p>
      <w:pPr>
        <w:pStyle w:val="TextBody"/>
        <w:bidi w:val="0"/>
        <w:spacing w:before="0" w:after="240"/>
        <w:jc w:val="both"/>
        <w:rPr/>
      </w:pPr>
      <w:r>
        <w:rPr>
          <w:color w:val="000000"/>
        </w:rPr>
        <w:t>“</w:t>
      </w:r>
      <w:r>
        <w:rPr>
          <w:rFonts w:ascii="Times New Roman" w:hAnsi="Times New Roman"/>
          <w:color w:val="000000"/>
          <w:sz w:val="24"/>
          <w:u w:val="single"/>
        </w:rPr>
        <w:t>Servicing Fee Rate</w:t>
      </w:r>
      <w:r>
        <w:rPr>
          <w:rFonts w:ascii="Times New Roman" w:hAnsi="Times New Roman"/>
          <w:color w:val="000000"/>
          <w:sz w:val="20"/>
        </w:rPr>
        <w:t xml:space="preserve">” </w:t>
      </w:r>
      <w:r>
        <w:rPr>
          <w:rFonts w:ascii="Times New Roman" w:hAnsi="Times New Roman"/>
          <w:color w:val="000000"/>
          <w:sz w:val="24"/>
        </w:rPr>
        <w:t>means [***]% per annum.</w:t>
      </w:r>
    </w:p>
    <w:p>
      <w:pPr>
        <w:pStyle w:val="TextBody"/>
        <w:bidi w:val="0"/>
        <w:spacing w:before="0" w:after="240"/>
        <w:jc w:val="both"/>
        <w:rPr/>
      </w:pPr>
      <w:r>
        <w:rPr>
          <w:color w:val="000000"/>
        </w:rPr>
        <w:t>“</w:t>
      </w:r>
      <w:r>
        <w:rPr>
          <w:rFonts w:ascii="Times New Roman" w:hAnsi="Times New Roman"/>
          <w:color w:val="000000"/>
          <w:sz w:val="24"/>
          <w:u w:val="single"/>
        </w:rPr>
        <w:t>Short-Term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short-term unsecured debt rating of not less than A</w:t>
        <w:noBreakHyphen/>
        <w:t>1 by Standard &amp; Poor’s and not less than Prime</w:t>
        <w:noBreakHyphen/>
        <w:t>1 by Moody’s.</w:t>
      </w:r>
    </w:p>
    <w:p>
      <w:pPr>
        <w:pStyle w:val="TextBody"/>
        <w:bidi w:val="0"/>
        <w:spacing w:before="0" w:after="240"/>
        <w:jc w:val="both"/>
        <w:rPr/>
      </w:pPr>
      <w:r>
        <w:rPr>
          <w:color w:val="000000"/>
        </w:rPr>
        <w:t>“</w:t>
      </w:r>
      <w:r>
        <w:rPr>
          <w:rFonts w:ascii="Times New Roman" w:hAnsi="Times New Roman"/>
          <w:color w:val="000000"/>
          <w:sz w:val="24"/>
          <w:u w:val="single"/>
        </w:rPr>
        <w:t>Simple Interest Contract</w:t>
      </w:r>
      <w:r>
        <w:rPr>
          <w:rFonts w:ascii="Times New Roman" w:hAnsi="Times New Roman"/>
          <w:color w:val="000000"/>
          <w:sz w:val="20"/>
        </w:rPr>
        <w:t xml:space="preserve">” </w:t>
      </w:r>
      <w:r>
        <w:rPr>
          <w:rFonts w:ascii="Times New Roman" w:hAnsi="Times New Roman"/>
          <w:color w:val="000000"/>
          <w:sz w:val="24"/>
        </w:rPr>
        <w:t>means any Contract under which the portion of a payment allocable to interest and the portion allocable to principal are determined in accordance with the Simple Interest Method.</w:t>
      </w:r>
    </w:p>
    <w:p>
      <w:pPr>
        <w:pStyle w:val="TextBody"/>
        <w:bidi w:val="0"/>
        <w:spacing w:before="0" w:after="240"/>
        <w:jc w:val="both"/>
        <w:rPr/>
      </w:pPr>
      <w:r>
        <w:rPr>
          <w:color w:val="000000"/>
        </w:rPr>
        <w:t>“</w:t>
      </w:r>
      <w:r>
        <w:rPr>
          <w:rFonts w:ascii="Times New Roman" w:hAnsi="Times New Roman"/>
          <w:color w:val="000000"/>
          <w:sz w:val="24"/>
          <w:u w:val="single"/>
        </w:rPr>
        <w:t>Simple Interest Method</w:t>
      </w:r>
      <w:r>
        <w:rPr>
          <w:rFonts w:ascii="Times New Roman" w:hAnsi="Times New Roman"/>
          <w:color w:val="000000"/>
          <w:sz w:val="20"/>
        </w:rPr>
        <w:t xml:space="preserve">” </w:t>
      </w:r>
      <w:r>
        <w:rPr>
          <w:rFonts w:ascii="Times New Roman" w:hAnsi="Times New Roman"/>
          <w:color w:val="000000"/>
          <w:sz w:val="24"/>
        </w:rPr>
        <w:t>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any successor administrator of the Term SOFR Reference Rate).</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they</w:t>
      </w:r>
      <w:r>
        <w:rPr>
          <w:rFonts w:ascii="Times New Roman" w:hAnsi="Times New Roman"/>
          <w:color w:val="000000"/>
          <w:sz w:val="20"/>
        </w:rPr>
        <w:t xml:space="preserve"> </w:t>
      </w:r>
      <w:r>
        <w:rPr>
          <w:rFonts w:ascii="Times New Roman" w:hAnsi="Times New Roman"/>
          <w:color w:val="000000"/>
          <w:sz w:val="24"/>
        </w:rPr>
        <w:t>mature in the normal course of</w:t>
      </w:r>
      <w:r>
        <w:rPr>
          <w:rFonts w:ascii="Times New Roman" w:hAnsi="Times New Roman"/>
          <w:color w:val="000000"/>
          <w:sz w:val="20"/>
        </w:rPr>
        <w:t xml:space="preserve"> </w:t>
      </w:r>
      <w:r>
        <w:rPr>
          <w:rFonts w:ascii="Times New Roman" w:hAnsi="Times New Roman"/>
          <w:color w:val="000000"/>
          <w:sz w:val="24"/>
        </w:rPr>
        <w:t>business; (iv) such Person does not intend to, and does not believe that it will, incur debts or liabilities beyond such Person’s ability</w:t>
      </w:r>
      <w:r>
        <w:rPr>
          <w:rFonts w:ascii="Times New Roman" w:hAnsi="Times New Roman"/>
          <w:color w:val="000000"/>
          <w:sz w:val="20"/>
        </w:rPr>
        <w:t xml:space="preserve"> </w:t>
      </w:r>
      <w:r>
        <w:rPr>
          <w:rFonts w:ascii="Times New Roman" w:hAnsi="Times New Roman"/>
          <w:color w:val="000000"/>
          <w:sz w:val="24"/>
        </w:rPr>
        <w:t>to pay as such debts and liabilities</w:t>
      </w:r>
      <w:r>
        <w:rPr>
          <w:rFonts w:ascii="Times New Roman" w:hAnsi="Times New Roman"/>
          <w:color w:val="000000"/>
          <w:sz w:val="20"/>
        </w:rPr>
        <w:t xml:space="preserve"> </w:t>
      </w:r>
      <w:r>
        <w:rPr>
          <w:rFonts w:ascii="Times New Roman" w:hAnsi="Times New Roman"/>
          <w:color w:val="000000"/>
          <w:sz w:val="24"/>
        </w:rPr>
        <w:t>mature; and (v) such Person is</w:t>
      </w:r>
      <w:r>
        <w:rPr>
          <w:rFonts w:ascii="Times New Roman" w:hAnsi="Times New Roman"/>
          <w:color w:val="000000"/>
          <w:sz w:val="20"/>
        </w:rPr>
        <w:t xml:space="preserve"> </w:t>
      </w:r>
      <w:r>
        <w:rPr>
          <w:rFonts w:ascii="Times New Roman" w:hAnsi="Times New Roman"/>
          <w:color w:val="000000"/>
          <w:sz w:val="24"/>
        </w:rPr>
        <w:t>not engaged in business or a transaction, and is not about to engage in a business or a transaction, for which such Person’s property would constitute unreasonably small capital.</w:t>
      </w:r>
    </w:p>
    <w:p>
      <w:pPr>
        <w:pStyle w:val="TextBody"/>
        <w:bidi w:val="0"/>
        <w:spacing w:before="0" w:after="240"/>
        <w:jc w:val="both"/>
        <w:rPr/>
      </w:pPr>
      <w:r>
        <w:rPr>
          <w:color w:val="000000"/>
        </w:rPr>
        <w:t>“</w:t>
      </w:r>
      <w:r>
        <w:rPr>
          <w:rFonts w:ascii="Times New Roman" w:hAnsi="Times New Roman"/>
          <w:color w:val="000000"/>
          <w:sz w:val="24"/>
          <w:u w:val="single"/>
        </w:rPr>
        <w:t>Special Purpose Affiliate</w:t>
      </w:r>
      <w:r>
        <w:rPr>
          <w:rFonts w:ascii="Times New Roman" w:hAnsi="Times New Roman"/>
          <w:color w:val="000000"/>
          <w:sz w:val="20"/>
        </w:rPr>
        <w:t xml:space="preserve">” </w:t>
      </w:r>
      <w:r>
        <w:rPr>
          <w:rFonts w:ascii="Times New Roman" w:hAnsi="Times New Roman"/>
          <w:color w:val="000000"/>
          <w:sz w:val="24"/>
        </w:rPr>
        <w:t>means any bankruptcy-remote special purpose entity that is an Affiliate of the Borrower and was created for the purpose of one or more Securitizations.</w:t>
      </w:r>
    </w:p>
    <w:p>
      <w:pPr>
        <w:pStyle w:val="TextBody"/>
        <w:bidi w:val="0"/>
        <w:spacing w:before="0" w:after="240"/>
        <w:jc w:val="both"/>
        <w:rPr/>
      </w:pPr>
      <w:r>
        <w:rPr>
          <w:color w:val="000000"/>
        </w:rPr>
        <w:t>“</w:t>
      </w:r>
      <w:r>
        <w:rPr>
          <w:rFonts w:ascii="Times New Roman" w:hAnsi="Times New Roman"/>
          <w:color w:val="000000"/>
          <w:sz w:val="24"/>
          <w:u w:val="single"/>
        </w:rPr>
        <w:t>Standard &amp; Poor’s</w:t>
      </w:r>
      <w:r>
        <w:rPr>
          <w:rFonts w:ascii="Times New Roman" w:hAnsi="Times New Roman"/>
          <w:color w:val="000000"/>
          <w:sz w:val="20"/>
        </w:rPr>
        <w:t xml:space="preserve">” </w:t>
      </w:r>
      <w:r>
        <w:rPr>
          <w:rFonts w:ascii="Times New Roman" w:hAnsi="Times New Roman"/>
          <w:color w:val="000000"/>
          <w:sz w:val="24"/>
        </w:rPr>
        <w:t>means Standard &amp; Poor’s Ratings Services, a Standard &amp; Poor’s Financial Services LLC business.</w:t>
      </w:r>
    </w:p>
    <w:p>
      <w:pPr>
        <w:pStyle w:val="TextBody"/>
        <w:bidi w:val="0"/>
        <w:spacing w:before="0" w:after="240"/>
        <w:jc w:val="both"/>
        <w:rPr/>
      </w:pPr>
      <w:r>
        <w:rPr>
          <w:color w:val="000000"/>
        </w:rPr>
        <w:t>“</w:t>
      </w:r>
      <w:r>
        <w:rPr>
          <w:rFonts w:ascii="Times New Roman" w:hAnsi="Times New Roman"/>
          <w:color w:val="000000"/>
          <w:sz w:val="24"/>
          <w:u w:val="single"/>
        </w:rPr>
        <w:t>State</w:t>
      </w:r>
      <w:r>
        <w:rPr>
          <w:rFonts w:ascii="Times New Roman" w:hAnsi="Times New Roman"/>
          <w:color w:val="000000"/>
          <w:sz w:val="20"/>
        </w:rPr>
        <w:t xml:space="preserve">” </w:t>
      </w:r>
      <w:r>
        <w:rPr>
          <w:rFonts w:ascii="Times New Roman" w:hAnsi="Times New Roman"/>
          <w:color w:val="000000"/>
          <w:sz w:val="24"/>
        </w:rPr>
        <w:t>means any state of the United States or the District of Columbia.</w:t>
      </w:r>
    </w:p>
    <w:p>
      <w:pPr>
        <w:pStyle w:val="TextBody"/>
        <w:bidi w:val="0"/>
        <w:spacing w:before="0" w:after="240"/>
        <w:jc w:val="both"/>
        <w:rPr/>
      </w:pPr>
      <w:r>
        <w:rPr>
          <w:color w:val="000000"/>
        </w:rPr>
        <w:t>“</w:t>
      </w:r>
      <w:r>
        <w:rPr>
          <w:rFonts w:ascii="Times New Roman" w:hAnsi="Times New Roman"/>
          <w:color w:val="000000"/>
          <w:sz w:val="24"/>
          <w:u w:val="single"/>
        </w:rPr>
        <w:t>Subsequent Loan</w:t>
      </w:r>
      <w:r>
        <w:rPr>
          <w:rFonts w:ascii="Times New Roman" w:hAnsi="Times New Roman"/>
          <w:color w:val="000000"/>
          <w:sz w:val="20"/>
        </w:rPr>
        <w:t xml:space="preserve">” </w:t>
      </w:r>
      <w:r>
        <w:rPr>
          <w:rFonts w:ascii="Times New Roman" w:hAnsi="Times New Roman"/>
          <w:color w:val="000000"/>
          <w:sz w:val="24"/>
        </w:rPr>
        <w:t>means each Loan made following the Initial Loan.</w:t>
      </w:r>
    </w:p>
    <w:p>
      <w:pPr>
        <w:pStyle w:val="TextBody"/>
        <w:bidi w:val="0"/>
        <w:spacing w:before="0" w:after="240"/>
        <w:jc w:val="both"/>
        <w:rPr/>
      </w:pPr>
      <w:r>
        <w:rPr>
          <w:color w:val="000000"/>
        </w:rPr>
        <w:t>“</w:t>
      </w:r>
      <w:r>
        <w:rPr>
          <w:rFonts w:ascii="Times New Roman" w:hAnsi="Times New Roman"/>
          <w:color w:val="000000"/>
          <w:sz w:val="24"/>
          <w:u w:val="single"/>
        </w:rPr>
        <w:t>Subsequent Receivable</w:t>
      </w:r>
      <w:r>
        <w:rPr>
          <w:rFonts w:ascii="Times New Roman" w:hAnsi="Times New Roman"/>
          <w:color w:val="000000"/>
          <w:sz w:val="20"/>
        </w:rPr>
        <w:t xml:space="preserve">” </w:t>
      </w:r>
      <w:r>
        <w:rPr>
          <w:rFonts w:ascii="Times New Roman" w:hAnsi="Times New Roman"/>
          <w:color w:val="000000"/>
          <w:sz w:val="24"/>
        </w:rPr>
        <w:t>means each Receivable that becomes a part of the Collateral on a Funding Date other than the Funding Date relating to the Initial Loan.</w:t>
      </w:r>
    </w:p>
    <w:p>
      <w:pPr>
        <w:pStyle w:val="TextBody"/>
        <w:bidi w:val="0"/>
        <w:spacing w:before="0" w:after="240"/>
        <w:jc w:val="both"/>
        <w:rPr/>
      </w:pPr>
      <w:r>
        <w:rPr>
          <w:color w:val="000000"/>
        </w:rPr>
        <w:t>“</w:t>
      </w:r>
      <w:r>
        <w:rPr>
          <w:rFonts w:ascii="Times New Roman" w:hAnsi="Times New Roman"/>
          <w:color w:val="000000"/>
          <w:sz w:val="24"/>
          <w:u w:val="single"/>
        </w:rPr>
        <w:t>Subservicer</w:t>
      </w:r>
      <w:r>
        <w:rPr>
          <w:rFonts w:ascii="Times New Roman" w:hAnsi="Times New Roman"/>
          <w:color w:val="000000"/>
          <w:sz w:val="20"/>
        </w:rPr>
        <w:t xml:space="preserve">” </w:t>
      </w:r>
      <w:r>
        <w:rPr>
          <w:rFonts w:ascii="Times New Roman" w:hAnsi="Times New Roman"/>
          <w:color w:val="000000"/>
          <w:sz w:val="24"/>
        </w:rPr>
        <w:t>means a subservicer appointed by the Servicer and acceptable to the Administrative Agent for the servicing and administration of the Receivables.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pStyle w:val="TextBody"/>
        <w:bidi w:val="0"/>
        <w:spacing w:before="0" w:after="240"/>
        <w:jc w:val="both"/>
        <w:rPr/>
      </w:pPr>
      <w:r>
        <w:rPr>
          <w:color w:val="000000"/>
        </w:rPr>
        <w:t>“</w:t>
      </w:r>
      <w:r>
        <w:rPr>
          <w:rFonts w:ascii="Times New Roman" w:hAnsi="Times New Roman"/>
          <w:color w:val="000000"/>
          <w:sz w:val="24"/>
          <w:u w:val="single"/>
        </w:rPr>
        <w:t>Successor Servicer</w:t>
      </w:r>
      <w:r>
        <w:rPr>
          <w:rFonts w:ascii="Times New Roman" w:hAnsi="Times New Roman"/>
          <w:color w:val="000000"/>
          <w:sz w:val="20"/>
        </w:rPr>
        <w:t xml:space="preserve">” </w:t>
      </w:r>
      <w:r>
        <w:rPr>
          <w:rFonts w:ascii="Times New Roman" w:hAnsi="Times New Roman"/>
          <w:color w:val="000000"/>
          <w:sz w:val="24"/>
        </w:rPr>
        <w:t>has the meaning given to such term in Section 7.15(b).</w:t>
      </w:r>
    </w:p>
    <w:p>
      <w:pPr>
        <w:pStyle w:val="TextBody"/>
        <w:bidi w:val="0"/>
        <w:spacing w:before="0" w:after="240"/>
        <w:jc w:val="both"/>
        <w:rPr/>
      </w:pPr>
      <w:r>
        <w:rPr>
          <w:color w:val="000000"/>
        </w:rPr>
        <w:t>“</w:t>
      </w:r>
      <w:r>
        <w:rPr>
          <w:rFonts w:ascii="Times New Roman" w:hAnsi="Times New Roman"/>
          <w:color w:val="000000"/>
          <w:sz w:val="24"/>
          <w:u w:val="single"/>
        </w:rPr>
        <w:t>System Description</w:t>
      </w:r>
      <w:r>
        <w:rPr>
          <w:rFonts w:ascii="Times New Roman" w:hAnsi="Times New Roman"/>
          <w:color w:val="000000"/>
          <w:sz w:val="20"/>
        </w:rPr>
        <w:t xml:space="preserve">” </w:t>
      </w:r>
      <w:r>
        <w:rPr>
          <w:rFonts w:ascii="Times New Roman" w:hAnsi="Times New Roman"/>
          <w:color w:val="000000"/>
          <w:sz w:val="24"/>
        </w:rPr>
        <w:t>shall mean a description of the E-Vault System in form and substance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Tangible Contract</w:t>
      </w:r>
      <w:r>
        <w:rPr>
          <w:rFonts w:ascii="Times New Roman" w:hAnsi="Times New Roman"/>
          <w:color w:val="000000"/>
          <w:sz w:val="20"/>
        </w:rPr>
        <w:t xml:space="preserve">” </w:t>
      </w:r>
      <w:r>
        <w:rPr>
          <w:rFonts w:ascii="Times New Roman" w:hAnsi="Times New Roman"/>
          <w:color w:val="000000"/>
          <w:sz w:val="24"/>
        </w:rPr>
        <w:t>means a Contract that constitutes “tangible chattel paper” under and as defined in Section 9-102(78) of the UCC.</w:t>
      </w:r>
    </w:p>
    <w:p>
      <w:pPr>
        <w:pStyle w:val="TextBody"/>
        <w:bidi w:val="0"/>
        <w:spacing w:before="0" w:after="240"/>
        <w:jc w:val="both"/>
        <w:rPr/>
      </w:pPr>
      <w:r>
        <w:rPr>
          <w:color w:val="000000"/>
        </w:rPr>
        <w:t>“</w:t>
      </w:r>
      <w:r>
        <w:rPr>
          <w:rFonts w:ascii="Times New Roman" w:hAnsi="Times New Roman"/>
          <w:color w:val="000000"/>
          <w:sz w:val="24"/>
          <w:u w:val="single"/>
        </w:rPr>
        <w:t>Tangible Net Worth</w:t>
      </w:r>
      <w:r>
        <w:rPr>
          <w:rFonts w:ascii="Times New Roman" w:hAnsi="Times New Roman"/>
          <w:color w:val="000000"/>
          <w:sz w:val="20"/>
        </w:rPr>
        <w:t xml:space="preserve">” </w:t>
      </w:r>
      <w:r>
        <w:rPr>
          <w:rFonts w:ascii="Times New Roman" w:hAnsi="Times New Roman"/>
          <w:color w:val="000000"/>
          <w:sz w:val="24"/>
        </w:rPr>
        <w:t>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present or future taxes, levies, imposts, duties, charges, withholding (including backup withholding), assessments or fees of any nature (including interest, penalties and additions thereto) that are imposed by any Government Authority.</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 for any calculation on any day, the Term SOFR Reference Rate as of 5:00 p.m. (New York City time) on the Reference Date prior to the applicable Interest Period (each, a “</w:t>
      </w:r>
      <w:r>
        <w:rPr>
          <w:rFonts w:ascii="Times New Roman" w:hAnsi="Times New Roman"/>
          <w:color w:val="000000"/>
          <w:sz w:val="24"/>
          <w:u w:val="single"/>
        </w:rPr>
        <w:t>Term SOFR Determination Day</w:t>
      </w:r>
      <w:r>
        <w:rPr>
          <w:rFonts w:ascii="Times New Roman" w:hAnsi="Times New Roman"/>
          <w:color w:val="000000"/>
          <w:sz w:val="20"/>
        </w:rPr>
        <w:t>”</w:t>
      </w:r>
      <w:r>
        <w:rPr>
          <w:rFonts w:ascii="Times New Roman" w:hAnsi="Times New Roman"/>
          <w:color w:val="000000"/>
          <w:sz w:val="24"/>
        </w:rPr>
        <w:t>), as such rate is published by the SOFR Administrator; provided, however, that if as of 5:00 p.m. (New York City time) on any Term SOFR Determination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 the Term SOFR Reference Rate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was published by the SOFR Administrator so long as such first preceding U.S. Government Securities Business Day is not more than [***]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rate per annum determined by the SOFR Administrator as the forward-looking term rate based on SOFR; provided, that if the Term SOFR Reference Rate determined as provided above shall ever be less than the Floor, then Term SOFR Reference Rate shall be deemed to be the Floor.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means the earliest to occur of (i) the Business Day designated by the Borrower to the Lenders as the Termination Date at any time following [***] days’ prior written notice, and (ii) the automatic occurrence, or the declaration of the occurrence, of the Termination Date pursuant to Section 9.01(b), or (iii) the Facility Termination Date.</w:t>
      </w:r>
    </w:p>
    <w:p>
      <w:pPr>
        <w:pStyle w:val="TextBody"/>
        <w:bidi w:val="0"/>
        <w:spacing w:before="0" w:after="240"/>
        <w:jc w:val="both"/>
        <w:rPr/>
      </w:pPr>
      <w:r>
        <w:rPr>
          <w:color w:val="000000"/>
        </w:rPr>
        <w:t>“</w:t>
      </w:r>
      <w:r>
        <w:rPr>
          <w:rFonts w:ascii="Times New Roman" w:hAnsi="Times New Roman"/>
          <w:color w:val="000000"/>
          <w:sz w:val="24"/>
          <w:u w:val="single"/>
        </w:rPr>
        <w:t>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9.01(a).</w:t>
      </w:r>
    </w:p>
    <w:p>
      <w:pPr>
        <w:pStyle w:val="TextBody"/>
        <w:bidi w:val="0"/>
        <w:spacing w:before="0" w:after="240"/>
        <w:jc w:val="both"/>
        <w:rPr/>
      </w:pPr>
      <w:r>
        <w:rPr>
          <w:color w:val="000000"/>
        </w:rPr>
        <w:t>“</w:t>
      </w:r>
      <w:r>
        <w:rPr>
          <w:rFonts w:ascii="Times New Roman" w:hAnsi="Times New Roman"/>
          <w:color w:val="000000"/>
          <w:sz w:val="24"/>
          <w:u w:val="single"/>
        </w:rPr>
        <w:t>Test Data File</w:t>
      </w:r>
      <w:r>
        <w:rPr>
          <w:rFonts w:ascii="Times New Roman" w:hAnsi="Times New Roman"/>
          <w:color w:val="000000"/>
          <w:sz w:val="20"/>
        </w:rPr>
        <w:t xml:space="preserve">” </w:t>
      </w:r>
      <w:r>
        <w:rPr>
          <w:rFonts w:ascii="Times New Roman" w:hAnsi="Times New Roman"/>
          <w:color w:val="000000"/>
          <w:sz w:val="24"/>
        </w:rPr>
        <w:t>means a test data file, which shall include the loan master file, the transaction history file and all other files necessary to carry out the servicing obligations hereunder.</w:t>
      </w:r>
    </w:p>
    <w:p>
      <w:pPr>
        <w:pStyle w:val="TextBody"/>
        <w:bidi w:val="0"/>
        <w:spacing w:before="0" w:after="240"/>
        <w:jc w:val="both"/>
        <w:rPr/>
      </w:pPr>
      <w:r>
        <w:rPr>
          <w:color w:val="000000"/>
        </w:rPr>
        <w:t>“</w:t>
      </w:r>
      <w:r>
        <w:rPr>
          <w:rFonts w:ascii="Times New Roman" w:hAnsi="Times New Roman"/>
          <w:color w:val="000000"/>
          <w:sz w:val="24"/>
          <w:u w:val="single"/>
        </w:rPr>
        <w:t>Title Administrator</w:t>
      </w:r>
      <w:r>
        <w:rPr>
          <w:rFonts w:ascii="Times New Roman" w:hAnsi="Times New Roman"/>
          <w:color w:val="000000"/>
          <w:sz w:val="20"/>
        </w:rPr>
        <w:t xml:space="preserve">” </w:t>
      </w:r>
      <w:r>
        <w:rPr>
          <w:rFonts w:ascii="Times New Roman" w:hAnsi="Times New Roman"/>
          <w:color w:val="000000"/>
          <w:sz w:val="24"/>
        </w:rPr>
        <w:t>means each of [***], or any successor thereto, or other Person that has executed an agreement in form and substance satisfactory to the Administrative Agent to provide motor vehicle title administration software and related services to the Servicer.</w:t>
      </w:r>
    </w:p>
    <w:p>
      <w:pPr>
        <w:pStyle w:val="TextBody"/>
        <w:bidi w:val="0"/>
        <w:spacing w:before="0" w:after="240"/>
        <w:jc w:val="both"/>
        <w:rPr/>
      </w:pPr>
      <w:r>
        <w:rPr>
          <w:color w:val="000000"/>
        </w:rPr>
        <w:t>“</w:t>
      </w:r>
      <w:r>
        <w:rPr>
          <w:rFonts w:ascii="Times New Roman" w:hAnsi="Times New Roman"/>
          <w:color w:val="000000"/>
          <w:sz w:val="24"/>
          <w:u w:val="single"/>
        </w:rPr>
        <w:t>Title Administrator Agreement</w:t>
      </w:r>
      <w:r>
        <w:rPr>
          <w:rFonts w:ascii="Times New Roman" w:hAnsi="Times New Roman"/>
          <w:color w:val="000000"/>
          <w:sz w:val="20"/>
        </w:rPr>
        <w:t xml:space="preserve">” </w:t>
      </w:r>
      <w:r>
        <w:rPr>
          <w:rFonts w:ascii="Times New Roman" w:hAnsi="Times New Roman"/>
          <w:color w:val="000000"/>
          <w:sz w:val="24"/>
        </w:rPr>
        <w:t>means a letter agreement from UACC to the Title Administrator, and acknowledged by the Administrative Agent, the Borrower, the Custodian and the Backup Servicer,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has the meaning ascribed to such term in the System Description.</w:t>
      </w:r>
    </w:p>
    <w:p>
      <w:pPr>
        <w:pStyle w:val="TextBody"/>
        <w:bidi w:val="0"/>
        <w:spacing w:before="0" w:after="240"/>
        <w:jc w:val="both"/>
        <w:rPr/>
      </w:pPr>
      <w:r>
        <w:rPr>
          <w:color w:val="000000"/>
        </w:rPr>
        <w:t>“</w:t>
      </w:r>
      <w:r>
        <w:rPr>
          <w:rFonts w:ascii="Times New Roman" w:hAnsi="Times New Roman"/>
          <w:color w:val="000000"/>
          <w:sz w:val="24"/>
          <w:u w:val="single"/>
        </w:rPr>
        <w:t>Transfer Agreement</w:t>
      </w:r>
      <w:r>
        <w:rPr>
          <w:rFonts w:ascii="Times New Roman" w:hAnsi="Times New Roman"/>
          <w:color w:val="000000"/>
          <w:sz w:val="20"/>
        </w:rPr>
        <w:t xml:space="preserve">” </w:t>
      </w:r>
      <w:r>
        <w:rPr>
          <w:rFonts w:ascii="Times New Roman" w:hAnsi="Times New Roman"/>
          <w:color w:val="000000"/>
          <w:sz w:val="24"/>
        </w:rPr>
        <w:t>means a Transfer Agreement in substantially the form attached to the Purchase Agreement as Exhibit A, executed by the Borrower and UACC in connection with a transfer of Receivables and the related Collateral on any Funding Date.</w:t>
      </w:r>
    </w:p>
    <w:p>
      <w:pPr>
        <w:pStyle w:val="TextBody"/>
        <w:bidi w:val="0"/>
        <w:spacing w:before="0" w:after="240"/>
        <w:jc w:val="both"/>
        <w:rPr/>
      </w:pPr>
      <w:r>
        <w:rPr>
          <w:color w:val="000000"/>
        </w:rPr>
        <w:t>“</w:t>
      </w:r>
      <w:r>
        <w:rPr>
          <w:rFonts w:ascii="Times New Roman" w:hAnsi="Times New Roman"/>
          <w:color w:val="000000"/>
          <w:sz w:val="24"/>
          <w:u w:val="single"/>
        </w:rPr>
        <w:t>Transition Expenses</w:t>
      </w:r>
      <w:r>
        <w:rPr>
          <w:rFonts w:ascii="Times New Roman" w:hAnsi="Times New Roman"/>
          <w:color w:val="000000"/>
          <w:sz w:val="20"/>
        </w:rPr>
        <w:t xml:space="preserve">” </w:t>
      </w:r>
      <w:r>
        <w:rPr>
          <w:rFonts w:ascii="Times New Roman" w:hAnsi="Times New Roman"/>
          <w:color w:val="000000"/>
          <w:sz w:val="24"/>
        </w:rPr>
        <w:t>has the meaning given to such term in Section 7.15(e).</w:t>
      </w:r>
    </w:p>
    <w:p>
      <w:pPr>
        <w:pStyle w:val="TextBody"/>
        <w:bidi w:val="0"/>
        <w:spacing w:before="0" w:after="240"/>
        <w:jc w:val="both"/>
        <w:rPr/>
      </w:pPr>
      <w:r>
        <w:rPr>
          <w:color w:val="000000"/>
        </w:rPr>
        <w:t>“</w:t>
      </w:r>
      <w:r>
        <w:rPr>
          <w:rFonts w:ascii="Times New Roman" w:hAnsi="Times New Roman"/>
          <w:color w:val="000000"/>
          <w:sz w:val="24"/>
          <w:u w:val="single"/>
        </w:rPr>
        <w:t>Trust Agreement</w:t>
      </w:r>
      <w:r>
        <w:rPr>
          <w:rFonts w:ascii="Times New Roman" w:hAnsi="Times New Roman"/>
          <w:color w:val="000000"/>
          <w:sz w:val="20"/>
        </w:rPr>
        <w:t xml:space="preserve">” </w:t>
      </w:r>
      <w:r>
        <w:rPr>
          <w:rFonts w:ascii="Times New Roman" w:hAnsi="Times New Roman"/>
          <w:color w:val="000000"/>
          <w:sz w:val="24"/>
        </w:rPr>
        <w:t>means the Amended and Restated Trust Agreement, dated as of July 11, 2019, between UACC, as depositor, the Owner Trustee, and [***], as Certificate Registrar.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UACC</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UACC Excess Spread Percentage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annualized percentage equal to (i) the weighted average APR of all Eligible Receivables that constitute UACC Receivables during such Collection Period minus (ii)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pStyle w:val="TextBody"/>
        <w:bidi w:val="0"/>
        <w:spacing w:before="0" w:after="240"/>
        <w:jc w:val="both"/>
        <w:rPr/>
      </w:pPr>
      <w:r>
        <w:rPr>
          <w:color w:val="000000"/>
        </w:rPr>
        <w:t>“</w:t>
      </w:r>
      <w:r>
        <w:rPr>
          <w:rFonts w:ascii="Times New Roman" w:hAnsi="Times New Roman"/>
          <w:color w:val="000000"/>
          <w:sz w:val="24"/>
          <w:u w:val="single"/>
        </w:rPr>
        <w:t>UACC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UACC Indemnified Party</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UACC Receivable</w:t>
      </w:r>
      <w:r>
        <w:rPr>
          <w:rFonts w:ascii="Times New Roman" w:hAnsi="Times New Roman"/>
          <w:color w:val="000000"/>
          <w:sz w:val="20"/>
        </w:rPr>
        <w:t xml:space="preserve">” </w:t>
      </w:r>
      <w:r>
        <w:rPr>
          <w:rFonts w:ascii="Times New Roman" w:hAnsi="Times New Roman"/>
          <w:color w:val="000000"/>
          <w:sz w:val="24"/>
        </w:rPr>
        <w:t>means any Receivable originated by the Originator through a network of Dealers other than the Vroom Origination Channel.</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as from time to time in effect in the applicable jurisdiction.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means the United States of America.</w:t>
      </w:r>
    </w:p>
    <w:p>
      <w:pPr>
        <w:pStyle w:val="TextBody"/>
        <w:bidi w:val="0"/>
        <w:spacing w:before="0" w:after="240"/>
        <w:jc w:val="both"/>
        <w:rPr/>
      </w:pPr>
      <w:r>
        <w:rPr>
          <w:color w:val="000000"/>
        </w:rPr>
        <w:t>“</w:t>
      </w:r>
      <w:r>
        <w:rPr>
          <w:rFonts w:ascii="Times New Roman" w:hAnsi="Times New Roman"/>
          <w:color w:val="000000"/>
          <w:sz w:val="24"/>
          <w:u w:val="single"/>
        </w:rPr>
        <w:t>Unmatured Servicer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Servicer Termination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Unmatured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Termination Event.</w:t>
      </w:r>
    </w:p>
    <w:p>
      <w:pPr>
        <w:pStyle w:val="TextBody"/>
        <w:bidi w:val="0"/>
        <w:spacing w:before="0" w:after="240"/>
        <w:jc w:val="both"/>
        <w:rPr/>
      </w:pPr>
      <w:r>
        <w:rPr>
          <w:color w:val="000000"/>
        </w:rPr>
        <w:t>“</w:t>
      </w:r>
      <w:r>
        <w:rPr>
          <w:rFonts w:ascii="Times New Roman" w:hAnsi="Times New Roman"/>
          <w:color w:val="000000"/>
          <w:sz w:val="24"/>
          <w:u w:val="single"/>
        </w:rPr>
        <w:t>Unused Fee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w:t>
      </w:r>
    </w:p>
    <w:p>
      <w:pPr>
        <w:pStyle w:val="TextBody"/>
        <w:bidi w:val="0"/>
        <w:spacing w:before="0" w:after="240"/>
        <w:jc w:val="both"/>
        <w:rPr/>
      </w:pPr>
      <w:r>
        <w:rPr>
          <w:color w:val="000000"/>
        </w:rPr>
        <w:t>“</w:t>
      </w:r>
      <w:r>
        <w:rPr>
          <w:rFonts w:ascii="Times New Roman" w:hAnsi="Times New Roman"/>
          <w:color w:val="000000"/>
          <w:sz w:val="24"/>
          <w:u w:val="single"/>
        </w:rPr>
        <w:t>Unused Fee Rate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0" w:after="240"/>
        <w:jc w:val="both"/>
        <w:rPr/>
      </w:pPr>
      <w:r>
        <w:rPr>
          <w:color w:val="000000"/>
        </w:rPr>
        <w:t>“</w:t>
      </w:r>
      <w:r>
        <w:rPr>
          <w:rFonts w:ascii="Times New Roman" w:hAnsi="Times New Roman"/>
          <w:color w:val="000000"/>
          <w:sz w:val="24"/>
          <w:u w:val="single"/>
        </w:rPr>
        <w:t>Upfront Fee</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Volcker Rule</w:t>
      </w:r>
      <w:r>
        <w:rPr>
          <w:rFonts w:ascii="Times New Roman" w:hAnsi="Times New Roman"/>
          <w:color w:val="000000"/>
          <w:sz w:val="20"/>
        </w:rPr>
        <w:t xml:space="preserve">” </w:t>
      </w:r>
      <w:r>
        <w:rPr>
          <w:rFonts w:ascii="Times New Roman" w:hAnsi="Times New Roman"/>
          <w:color w:val="000000"/>
          <w:sz w:val="24"/>
        </w:rPr>
        <w:t>means the regulations adopted to implement Section 619 of the Dodd-Frank Act.</w:t>
      </w:r>
    </w:p>
    <w:p>
      <w:pPr>
        <w:pStyle w:val="TextBody"/>
        <w:bidi w:val="0"/>
        <w:spacing w:before="0" w:after="240"/>
        <w:jc w:val="both"/>
        <w:rPr/>
      </w:pPr>
      <w:r>
        <w:rPr>
          <w:color w:val="000000"/>
        </w:rPr>
        <w:t>“</w:t>
      </w:r>
      <w:r>
        <w:rPr>
          <w:rFonts w:ascii="Times New Roman" w:hAnsi="Times New Roman"/>
          <w:color w:val="000000"/>
          <w:sz w:val="24"/>
          <w:u w:val="single"/>
        </w:rPr>
        <w:t>Vroom Excess Spread Percentage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an annualized percentage equal to (i) the weighted average APR of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Eligible Receivables that constitute Vroom Receivables during such Collection Period minus (ii) 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pStyle w:val="TextBody"/>
        <w:bidi w:val="0"/>
        <w:spacing w:before="0" w:after="240"/>
        <w:jc w:val="both"/>
        <w:rPr/>
      </w:pPr>
      <w:r>
        <w:rPr>
          <w:color w:val="000000"/>
        </w:rPr>
        <w:t>“</w:t>
      </w:r>
      <w:r>
        <w:rPr>
          <w:rFonts w:ascii="Times New Roman" w:hAnsi="Times New Roman"/>
          <w:color w:val="000000"/>
          <w:sz w:val="24"/>
          <w:u w:val="single"/>
        </w:rPr>
        <w:t>Vroom Origination Channel</w:t>
      </w:r>
      <w:r>
        <w:rPr>
          <w:rFonts w:ascii="Times New Roman" w:hAnsi="Times New Roman"/>
          <w:color w:val="000000"/>
          <w:sz w:val="20"/>
        </w:rPr>
        <w:t xml:space="preserve">” </w:t>
      </w:r>
      <w:r>
        <w:rPr>
          <w:rFonts w:ascii="Times New Roman" w:hAnsi="Times New Roman"/>
          <w:color w:val="000000"/>
          <w:sz w:val="24"/>
        </w:rPr>
        <w:t>means the network of Dealers established by Vroom Automotive, LLC.</w:t>
      </w:r>
    </w:p>
    <w:p>
      <w:pPr>
        <w:pStyle w:val="TextBody"/>
        <w:bidi w:val="0"/>
        <w:spacing w:before="0" w:after="240"/>
        <w:jc w:val="both"/>
        <w:rPr/>
      </w:pPr>
      <w:r>
        <w:rPr>
          <w:color w:val="000000"/>
        </w:rPr>
        <w:t>“</w:t>
      </w:r>
      <w:r>
        <w:rPr>
          <w:rFonts w:ascii="Times New Roman" w:hAnsi="Times New Roman"/>
          <w:color w:val="000000"/>
          <w:sz w:val="24"/>
          <w:u w:val="single"/>
        </w:rPr>
        <w:t>Vroom Receivable</w:t>
      </w:r>
      <w:r>
        <w:rPr>
          <w:rFonts w:ascii="Times New Roman" w:hAnsi="Times New Roman"/>
          <w:color w:val="000000"/>
          <w:sz w:val="20"/>
        </w:rPr>
        <w:t xml:space="preserve">” </w:t>
      </w:r>
      <w:r>
        <w:rPr>
          <w:rFonts w:ascii="Times New Roman" w:hAnsi="Times New Roman"/>
          <w:color w:val="000000"/>
          <w:sz w:val="24"/>
        </w:rPr>
        <w:t>means any Receivable originated by the Originator through the Vroom Origination Channel.</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w:t>
      </w:r>
    </w:p>
    <w:p>
      <w:pPr>
        <w:pStyle w:val="TextBody"/>
        <w:bidi w:val="0"/>
        <w:spacing w:before="0" w:after="240"/>
        <w:jc w:val="both"/>
        <w:rPr/>
      </w:pPr>
      <w:r>
        <w:rPr>
          <w:rFonts w:ascii="Times New Roman" w:hAnsi="Times New Roman"/>
          <w:color w:val="000000"/>
          <w:sz w:val="24"/>
          <w:u w:val="single"/>
        </w:rPr>
        <w:t xml:space="preserve">Accounting Terms and Determinations </w:t>
      </w:r>
      <w:r>
        <w:rPr>
          <w:rFonts w:ascii="Times New Roman" w:hAnsi="Times New Roman"/>
          <w:color w:val="000000"/>
          <w:sz w:val="24"/>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1.03.</w:t>
      </w:r>
    </w:p>
    <w:p>
      <w:pPr>
        <w:pStyle w:val="TextBody"/>
        <w:bidi w:val="0"/>
        <w:spacing w:before="0" w:after="240"/>
        <w:jc w:val="both"/>
        <w:rPr/>
      </w:pPr>
      <w:r>
        <w:rPr>
          <w:rFonts w:ascii="Times New Roman" w:hAnsi="Times New Roman"/>
          <w:color w:val="000000"/>
          <w:sz w:val="24"/>
          <w:u w:val="single"/>
        </w:rPr>
        <w:t xml:space="preserve">Computation of Time Periods </w:t>
      </w:r>
      <w:r>
        <w:rPr>
          <w:rFonts w:ascii="Times New Roman" w:hAnsi="Times New Roman"/>
          <w:color w:val="000000"/>
          <w:sz w:val="24"/>
        </w:rPr>
        <w:t>Unless otherwise stated in this Agreement, in the computation of a period of time from a specified date to a later specified date, the word “from” means “from and including” and the words “to” and “until” each mean “to but excluding.”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1.04.</w:t>
      </w:r>
    </w:p>
    <w:p>
      <w:pPr>
        <w:pStyle w:val="TextBody"/>
        <w:bidi w:val="0"/>
        <w:spacing w:before="0" w:after="240"/>
        <w:jc w:val="both"/>
        <w:rPr/>
      </w:pPr>
      <w:r>
        <w:rPr>
          <w:rFonts w:ascii="Times New Roman" w:hAnsi="Times New Roman"/>
          <w:color w:val="000000"/>
          <w:sz w:val="24"/>
          <w:u w:val="single"/>
        </w:rPr>
        <w:t xml:space="preserve">Interpretation </w:t>
      </w:r>
      <w:r>
        <w:rPr>
          <w:rFonts w:ascii="Times New Roman" w:hAnsi="Times New Roman"/>
          <w:color w:val="000000"/>
          <w:sz w:val="24"/>
        </w:rPr>
        <w:t xml:space="preserve">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visible form; and (x) the term “proceeds” has the meaning set forth in the applicable UCC.</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2</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2.01.</w:t>
      </w:r>
    </w:p>
    <w:p>
      <w:pPr>
        <w:pStyle w:val="TextBody"/>
        <w:bidi w:val="0"/>
        <w:spacing w:before="0" w:after="240"/>
        <w:jc w:val="both"/>
        <w:rPr/>
      </w:pPr>
      <w:r>
        <w:rPr>
          <w:rFonts w:ascii="Times New Roman" w:hAnsi="Times New Roman"/>
          <w:color w:val="000000"/>
          <w:sz w:val="24"/>
          <w:u w:val="single"/>
        </w:rPr>
        <w:t xml:space="preserve">Loans </w:t>
      </w:r>
      <w:r>
        <w:rPr>
          <w:rFonts w:ascii="Times New Roman" w:hAnsi="Times New Roman"/>
          <w:color w:val="000000"/>
          <w:sz w:val="24"/>
        </w:rPr>
        <w:t xml:space="preserve">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later than 12:00 p.m., New York City time, one Business Day prior to the proposed Funding Date, the Borrower shall notify the Administrative Agent of such proposed Funding Date and Loan by delivering to the Administrative Agent (with a copy to the Account Bank), in form and substance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Funding Request, which will include, among other things, the proposed Funding Date, a calculation of the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updated Schedule of Receivables that includes each Receivable that is the subject of the proposed Loan (other than in the case of a Reborrowing).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receipt by the Administrative Agent of a Funding Request, and prior to the earlier to occur of the Commitment Termination Date and the Termination Date each Committed Lender severally agrees to make its Lender Advance of any Loan requested by the Borrower, in each case subject to the conditions contained herein, in an aggregate amount equal to the Loan so requested.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Committed Lender be required on any date to fund a Principal Amount that would cause its Lender Percentage of the Loans Outstanding, determined after giving effect to such funding, to exceed its Commitment;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Determination Date, but prior to or on such date of determination,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made during the Amortization Period or the Principal Amount of any Loan exceed the Available Amount on the related Funding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more than [***] Loan be funded on any Business Day or more than [***] Loans be made in any calendar week;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 be funded, unless the Collateral Coverage Ratio, after taking into account the Receivables being added to the Collateral on such Funding Date, is less than or equal to the related Collateral Coverage Ratio as of the end of the most recent Collection Period, provided, however, that such Loan may be funded in an amount up to but not exceeding the Borrowing Base.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2.02.</w:t>
      </w:r>
    </w:p>
    <w:p>
      <w:pPr>
        <w:pStyle w:val="TextBody"/>
        <w:bidi w:val="0"/>
        <w:spacing w:before="0" w:after="240"/>
        <w:jc w:val="both"/>
        <w:rPr/>
      </w:pPr>
      <w:r>
        <w:rPr>
          <w:rFonts w:ascii="Times New Roman" w:hAnsi="Times New Roman"/>
          <w:color w:val="000000"/>
          <w:sz w:val="24"/>
          <w:u w:val="single"/>
        </w:rPr>
        <w:t xml:space="preserve">Funding Mechanics </w:t>
      </w:r>
      <w:r>
        <w:rPr>
          <w:rFonts w:ascii="Times New Roman" w:hAnsi="Times New Roman"/>
          <w:color w:val="000000"/>
          <w:sz w:val="24"/>
        </w:rPr>
        <w:t>If any Funding Request is delivered to the Administrative Agent after 12:00 p.m., New York City time, one Business Day prior to the proposed Funding Date, such Funding Request shall be deemed to be received prior to 12:00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and (ii) all conditions precedent to the making of such Loan have been (or prior to the making of such Loan on the Funding Date will be) satisfied. Any Funding Request shall be irrevocable.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Lender’s Lender Advance of a Loan shall be made available to the Administrative Agent, subject to the fulfillment of the applicable conditions set forth in Article Four, at or prior to 1:00 p.m., New York City time, on the applicable Funding Date, by deposit of immediately available funds to an account of the Administrative Agent. The Administrative Agent shall promptly notify the Borrower in the event that any Lender either fails to make such funds available to the Administrative Agent before such time or notifies the Administrative Agent that it will not make such funds available to the Administrative Agent before such time. Subject to (i) the Administrative Agent’s receipt of such funds and (ii) the fulfillment of the applicable conditions set forth in Article Four, as determined by the Administrative Agent, the Administrative Agent will not later than 3:00 p.m., New York City time, on such Funding Date make such funds available, in the same type of funds received, by wire transfer thereof to the Borrower’s Account. If any Lender makes available to the Administrative Agent funds for any Loan to be made by such Lender as provided in the foregoing provisions of this Article, and such funds are not made available to the Borrower by the Administrative Agent because the conditions to the applicable Loan set forth in Article Four are not satisfied or waived in accordance with the terms hereof, the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shall return such funds (in like funds as received from such Lender) to such Lender, without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2.03.</w:t>
      </w:r>
    </w:p>
    <w:p>
      <w:pPr>
        <w:pStyle w:val="TextBody"/>
        <w:bidi w:val="0"/>
        <w:spacing w:before="0" w:after="240"/>
        <w:jc w:val="both"/>
        <w:rPr/>
      </w:pPr>
      <w:r>
        <w:rPr>
          <w:rFonts w:ascii="Times New Roman" w:hAnsi="Times New Roman"/>
          <w:color w:val="000000"/>
          <w:sz w:val="24"/>
          <w:u w:val="single"/>
        </w:rPr>
        <w:t xml:space="preserve">Reductions of Commitments </w:t>
      </w:r>
      <w:r>
        <w:rPr>
          <w:rFonts w:ascii="Times New Roman" w:hAnsi="Times New Roman"/>
          <w:color w:val="000000"/>
          <w:sz w:val="24"/>
        </w:rPr>
        <w:t>At any time during the Revolving Period the Borrower may, upon at least [***] Business Days’ prior written notice to the Administrative Agent and each Hedge Counterparty (with a copy to the Account Bank), reduce the Facility Amount, which shall be applied, unless otherwise consented to by the Administrative Agent, pro rata to the Commitments. Each partial reduction shall be in a minimum aggregate amount of $[***] or integral multiples of $[***] in excess thereof. Reductions of the Facility Amount pursuant to this Section shall be allocated to 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reduction of the Facility Amount, the Borrower shall remit to the Administrative Agent, (i) instructions regarding such reduction (with a copy to the Administrative Agent) and (ii) for payment to each Lender, cash in an amount sufficient to pay the Aggregate Unpaids with respect to such reduction, including any associated Breakage Costs; provided, however, that no such reduction shall be given effect unless the Borrower has complied with the terms of any Hedging Agreement requiring that any Hedge Transaction related thereto be terminated in whole or in part as a result of any such reduction in the Loans Outstanding and the Borrower has paid all Hedge Breakage Costs due to the relevant Hedge Counterparty for any such termination. Upon receipt of any such amounts, the Administrative Agent shall apply such amounts first to the pro rata reduction of the Loans Outstanding, second to the payment of the remaining Aggregate Unpaids with respect thereto, including any Breakage Costs, by paying such amounts to the Lenders pro rata, based on their respective Lender Percentages, and third to pay any Hedge Breakage Costs related to such reduction of the Loans Outstanding due to the relevant Hedge Counterparty.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On the Commitment Termination Date, (i) the Commitment of each Lender shall be automatically reduced to zero, (ii) the Revolving Period shall immediately terminate; (iii) no further Loans or advances shall be made; and (iii) all Available Funds shall be applied to repay the Loans Outstanding in accordance with </w:t>
      </w:r>
      <w:r>
        <w:rPr>
          <w:rFonts w:ascii="Times New Roman" w:hAnsi="Times New Roman"/>
          <w:color w:val="000000"/>
          <w:sz w:val="24"/>
          <w:u w:val="single"/>
        </w:rPr>
        <w:t>Section 2.08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2.04.</w:t>
      </w:r>
    </w:p>
    <w:p>
      <w:pPr>
        <w:pStyle w:val="TextBody"/>
        <w:bidi w:val="0"/>
        <w:spacing w:before="0" w:after="240"/>
        <w:jc w:val="both"/>
        <w:rPr/>
      </w:pPr>
      <w:r>
        <w:rPr>
          <w:rFonts w:ascii="Times New Roman" w:hAnsi="Times New Roman"/>
          <w:color w:val="000000"/>
          <w:sz w:val="24"/>
          <w:u w:val="single"/>
        </w:rPr>
        <w:t xml:space="preserve">Extensions of Commitments </w:t>
      </w:r>
      <w:r>
        <w:rPr>
          <w:rFonts w:ascii="Times New Roman" w:hAnsi="Times New Roman"/>
          <w:color w:val="000000"/>
          <w:sz w:val="24"/>
        </w:rPr>
        <w:t xml:space="preserve">So long as no Termination Event has occurred, the Borrower may request in writing, before the Commitment Proposed Extension Date, through the Administrative Agent, that each Committed Lender extend its Commitment Termination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Date for an additional [***]-day period as herein provided, which request may be granted or denied by each Committed Lender in its sole discretion. Upon</w:t>
      </w:r>
      <w:r>
        <w:rPr>
          <w:color w:val="000000"/>
        </w:rPr>
        <w:t xml:space="preserve"> </w:t>
      </w:r>
      <w:r>
        <w:rPr>
          <w:rFonts w:ascii="Times New Roman" w:hAnsi="Times New Roman"/>
          <w:color w:val="000000"/>
          <w:sz w:val="24"/>
        </w:rPr>
        <w:t>receipt of any such request, the Administrative Agent shall notify each Committed Lender. On or before the last day of the Election Period, each Committed Lender shall notify the Administrative Agent of its willingness or refusal to so extend its Commitment Termination Date, provided that the failure of any Committed Lender to timely respond shall be deemed to be its refusal to so extend, and the Administrative Agent shall notify the Borrower of such willingness or refusal by the Committed Lenders not later than the Business Day following the last day of the Election Period. If (i) one or more Committed Lenders have agreed to extend the Commitment Termination Date and (ii) at the end of the applicable Election Period, no Termination Event shall have occurred and be continuing, the Commitment Termination Date then in effect for each such Committed Lender shall be extended to the date which is [***] days following the last day of the Election Period or, if such day is not a Business Day, the next preceding Business Day (or any other date as agreed upon by the Borrower and each Committed Lender); provided, that if not all Committed Lenders, the Borrower may elect, by notice to the Administrative Agent, delivered not later than [***] Business Days after the end of the Election Period, not to have such extension become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 Business Days following the end of an Election Period, the Administrative Agent shall notify each other Lender and the Borrower of the identity of any Dissenting Lender and the amount of its Commitment. The Borrower may (but shall not be 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Prior to the occurrence of a Termination Event, if a Partial Expiration Event has occurred, the Administrative Agent shall give notice to the Borrower and the Servicer to apply any Collections in accordance with Section 2.08(vi)(B), to the pro rata repayment of such amounts owing to any Non-Extending Lender as of the date of the related Partial Expiration Event,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commencing no later than the first Payment Date which is at least [***] Business Days following the Commitment Termination Date for the Non-Extending Lender, specifying the amounts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2.05.</w:t>
      </w:r>
    </w:p>
    <w:p>
      <w:pPr>
        <w:pStyle w:val="TextBody"/>
        <w:bidi w:val="0"/>
        <w:spacing w:before="0" w:after="240"/>
        <w:jc w:val="both"/>
        <w:rPr/>
      </w:pPr>
      <w:r>
        <w:rPr>
          <w:rFonts w:ascii="Times New Roman" w:hAnsi="Times New Roman"/>
          <w:color w:val="000000"/>
          <w:sz w:val="24"/>
          <w:u w:val="single"/>
        </w:rPr>
        <w:t xml:space="preserve">The Notes </w:t>
      </w:r>
      <w:r>
        <w:rPr>
          <w:rFonts w:ascii="Times New Roman" w:hAnsi="Times New Roman"/>
          <w:color w:val="000000"/>
          <w:sz w:val="24"/>
        </w:rPr>
        <w:t>The Loans made by the Lenders hereunder shall be evidenced by one or more duly executed promissory notes payable to the Persons specified by the Owners, in an aggregate Principal Amount of Loans Outstanding not to exceed the Aggregate Commitment, in substantially the form of Exhibit B hereto (each, a “Note” and collectively, the “Notes”). Each Note shall be dated the Closing Date and shall otherwise be duly completed. The maturity date of each Note shall be the Final Maturity Date or such later date as to which the Administrative Agent, with the consent of each Lender, shall notify the Borrower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hereby authorized to enter notations (which may be computer generated) on a schedule attached to the Note with respect to each Lender Advance made by each Lender hereunder, regarding (i) the date and Principal Amount thereof and (ii) each payment and repayment of principal thereof and any such recordation shall constitute prima facie evidence of the accuracy of the information so recorded. The failure of the Administrative Agent to make any such notation on the schedule attached to the Note shall not limit or otherwise affect the obligation of the Borrower to repay the Loans in accordance with their respective terms as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the Facility Termination Date, the Administrative Agent shall mark each Note “Paid” and return it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2.06.</w:t>
      </w:r>
    </w:p>
    <w:p>
      <w:pPr>
        <w:pStyle w:val="TextBody"/>
        <w:bidi w:val="0"/>
        <w:spacing w:before="0" w:after="240"/>
        <w:jc w:val="both"/>
        <w:rPr/>
      </w:pPr>
      <w:r>
        <w:rPr>
          <w:rFonts w:ascii="Times New Roman" w:hAnsi="Times New Roman"/>
          <w:color w:val="000000"/>
          <w:sz w:val="24"/>
          <w:u w:val="single"/>
        </w:rPr>
        <w:t xml:space="preserve">Optional Principal Repayments; Interpayments </w:t>
      </w:r>
      <w:r>
        <w:rPr>
          <w:rFonts w:ascii="Times New Roman" w:hAnsi="Times New Roman"/>
          <w:color w:val="000000"/>
          <w:sz w:val="24"/>
        </w:rPr>
        <w:t xml:space="preserve">On any Business Day prior to the occurrence of a Termination Date, the Borrower may prepay all or a portion of the Loans Outstanding, on at least [***] Business Days’ prior notice to the Administrative Agent and each Hedge Counterparty (with a copy to the Account Bank); provided that (i) the amount prepaid is at least $[***] or integral multiples of $[***] in excess thereof (unless otherwise agreed to in writing by the Administrative Agent); (ii) the Borrower pays to the Administrative Agent, for the account of the Secured Parties, on the date of any such prepayment (a) accrued Interest with respect to the portion of the Loans Outstanding to be prepaid through the date of prepayment, as calculated by the Administrative Agent, and (b) all other Aggregate Unpaids (including all Breakage Costs, all Hedge Breakage Costs and any other amounts payable by the Borrower under or with respect to any Hedging Agreement) payable under this Agreement through the date of such prepayment, including any fees or other amounts payable pursuant to Section 10.01; (iii) the Borrower certifies that following such prepayment, the Borrower will be in compliance with the provisions of this Agreement; (iv) no such reduction shall be given effect unless the Borrower has complied with the terms of any Hedging Agreement requiring one or more Hedge Transactions be terminated in whole or in part as a result of any such reduction; and (v) the Borrower has paid all Hedge Breakage Costs due to the relevant Hedge Counterparty for such termination. Any notice of a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prepayment shall be irrevocable. The Administrative Agent shall provide prompt notice to the Lenders following receipt of any notice of intent to prepay.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the related prepayment date the following shall be true and correct and the Borrower shall be deemed to have certified that after giving effect to such prepayment and the release to the Borrower of the related Receivables, (A) no adverse selection procedures shall have been used by the Borrower with respect to the Receivables that will remain part of the Collateral after giving effect to such prepayment, (B) no Termination Event, Unmatured Termination Event, Servicer Termination Event or Unmatured Servicer Termination Event shall have occurred nor will any such event occur as a result of such prepayment, (C) after giving effect to such prepayment, (i) no Borrowing Base Deficiency shall have occurred, and (iii) no Overcollateralization Increase Event shall have occurred.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or prior to the related prepayment date, the Borrower shall have delivered to the Administrative Agent a list specifying all Contracts relating to the Receivables to be released pursuant to such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agrees to pay the reasonable out-of-pocket legal fees and expenses of the Account Bank, the Administrative Agent and the Lenders in connection with any prepayment (including expenses incurred in connection with the release of the Lien of the Administrative Agent, the Lenders and any other party having such an interest in the Receivables in connection with such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provisions of Section 2.06(a), the Borrower may, prior to the occurrence of a Termination Event, and only if approved by the Administrative Agent in its sole discretion (and with written notice to the Account Bank),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2.07.</w:t>
      </w:r>
    </w:p>
    <w:p>
      <w:pPr>
        <w:pStyle w:val="TextBody"/>
        <w:bidi w:val="0"/>
        <w:spacing w:before="0" w:after="240"/>
        <w:jc w:val="both"/>
        <w:rPr/>
      </w:pPr>
      <w:r>
        <w:rPr>
          <w:rFonts w:ascii="Times New Roman" w:hAnsi="Times New Roman"/>
          <w:color w:val="000000"/>
          <w:sz w:val="24"/>
          <w:u w:val="single"/>
        </w:rPr>
        <w:t xml:space="preserve">Payments </w:t>
      </w:r>
      <w:r>
        <w:rPr>
          <w:rFonts w:ascii="Times New Roman" w:hAnsi="Times New Roman"/>
          <w:color w:val="000000"/>
          <w:sz w:val="24"/>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 or Section 2.15.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Lender’s Invested Percentage of the Loans Outstanding shall bear interest for each Interest Period at a rate per annum equal to (i) the Interest Rate for such Interest Period or (ii) at Lender’s discretion, the Interest Rate for each day during each Interest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Interest calculated by reference to the Interest Rate shall be calculated on the basis of a 360-day year (or, in the case of Alternate Base Rate Loans, the actual number of days in such year) for the actual number of days elapsed.</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The principal of and Interest on the Notes shall be paid as provided herein and in the Notes. Payments in respect of principal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2.08(vi)(B)</w:t>
      </w:r>
      <w:r>
        <w:rPr>
          <w:color w:val="000000"/>
        </w:rPr>
        <w:t xml:space="preserve"> </w:t>
      </w:r>
      <w:r>
        <w:rPr>
          <w:rFonts w:ascii="Times New Roman" w:hAnsi="Times New Roman"/>
          <w:color w:val="000000"/>
          <w:sz w:val="24"/>
        </w:rPr>
        <w:t>in reduction of the Partial Expiration Event Amount shall be allocated and applied to Non-Extending Lenders pro rata based on their respective Lender Percentages.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herein or in any other Loan Document, the Administrative Agent will have the right to make Conforming Changes from time to time and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determination of the Interest Rate by the Administrative Agent pursuant to any provision of this Agreement shall be conclusive and binding on the Lenders and the Borrower in the absence of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2.08.</w:t>
      </w:r>
    </w:p>
    <w:p>
      <w:pPr>
        <w:pStyle w:val="TextBody"/>
        <w:bidi w:val="0"/>
        <w:spacing w:before="0" w:after="240"/>
        <w:jc w:val="both"/>
        <w:rPr/>
      </w:pPr>
      <w:r>
        <w:rPr>
          <w:rFonts w:ascii="Times New Roman" w:hAnsi="Times New Roman"/>
          <w:color w:val="000000"/>
          <w:sz w:val="24"/>
          <w:u w:val="single"/>
        </w:rPr>
        <w:t xml:space="preserve">Settlement Procedures </w:t>
      </w:r>
      <w:r>
        <w:rPr>
          <w:rFonts w:ascii="Times New Roman" w:hAnsi="Times New Roman"/>
          <w:color w:val="000000"/>
          <w:sz w:val="24"/>
        </w:rPr>
        <w:t>On each Payment Date, the Servicer shall instruct the Account Bank to pay to the following Persons, from the Collection Account to the extent of Available Funds, the following amounts in the following order of priority, as set forth in the Monthly Report: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Second, pro rata, (A) to the extent not paid for by UACC, to the Backup Servicer, so long as the Backup Servicer has not been appointed to serve as successor to the Servicer hereunder, the accrued and unpaid Backup Servicing Fee to the Backup Servicer, its accrued and unpaid expenses and indemnities (which expenses and indemnities prior to the occurrence of a Termination Event shall not exceed $[***] per annum), and any Transition Expenses not paid for by the predecessor Servicer pursuant to Section 7.15(e), (B) to the Account Bank, an amount equal to any accrued and unpaid Account Bank Fee, together with its accrued and unpaid expenses and indemnities (which expenses and indemnities prior to the occurrence of a Termination Event shall not exceed $[***] per annum), and (C) to the extent not previously paid, to the E-Vault Provider, any unpaid fees and expenses due and owing in respect of Electronic Contracts maintained in the Warehouse Vault Partition;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Third, to the extent not paid for by UACC, to the Custodian (if not UACC), the accrued and unpaid Custodian Fee and any accrued and unpaid expenses and indemnities;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Fourth, (A) to the Administrative Agent for the ratable payment to each Lender in an amount equal to any accrued and unpaid (1) Interest on the Loans (plus the Unused Fee), (2) Breakage Costs relating to any Loans and (3) all other Aggregate Unpaids allocable to the Loans Outstanding (other than the Principal Amount of the Loans Outstanding) then due under this Agreement to the Administrative Agent, the Lenders, the Affected Parties or the Indemnified Parties, for the payment thereof, (B) to the Hedge Counterparty, (1) any payments required under any Hedge Agreement and (2) any Hedge Breakage Costs due but not paid and (C) to the Successor Servicer, any unpaid Transition Expenses payable pursuant to Section 7.15(e), to the extent not paid pursuant to clause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Fifth, if an Overcollateralization Increase Event has occurred and is continuing, to the Administrative Agent for the ratable payment to each Lender, the remaining Available Funds in an amount necessary to reduce the Loans Outstanding until the Collateral Coverage Ratio is equal to the applicable Advance Rate;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Sixth, to the Administrative Agent for the ratable payment to each Lender, in an amount equal to the Monthly Principal Payment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Seventh, if (A) the Commitment Termination Date has occurred, the remaining Available Funds to reduce the Loans Outstanding and all other Aggregate Unpaids to zero or (B) a Partial Expiration Event has occurred, the remaining funds to reduce pro rata the portion of the Loans Outstanding constituting the Lender Advances of any Non-Extending Lender, to zero;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Eighth, prior to the occurrence of the Termination Date, to the Reserve Account, the amount necessary to cause the amount on deposit therein to equal the Reserve Account Required Amount;</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Ninth, to the Servicer, the Owner Trustee, the Backup Servicer, the Custodian (if other than UACC), the Account Bank and any Successor Servicer, any fees, expenses and indemnities not paid pursuant to clauses (i) through (iv) above;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Tenth, any remaining amount shall be distributed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2.09.</w:t>
      </w:r>
    </w:p>
    <w:p>
      <w:pPr>
        <w:pStyle w:val="TextBody"/>
        <w:bidi w:val="0"/>
        <w:spacing w:before="0" w:after="240"/>
        <w:jc w:val="both"/>
        <w:rPr/>
      </w:pPr>
      <w:r>
        <w:rPr>
          <w:rFonts w:ascii="Times New Roman" w:hAnsi="Times New Roman"/>
          <w:color w:val="000000"/>
          <w:sz w:val="24"/>
          <w:u w:val="single"/>
        </w:rPr>
        <w:t xml:space="preserve">Mandatory Payments </w:t>
      </w:r>
      <w:r>
        <w:rPr>
          <w:rFonts w:ascii="Times New Roman" w:hAnsi="Times New Roman"/>
          <w:color w:val="000000"/>
          <w:sz w:val="24"/>
        </w:rPr>
        <w:t>The Borrower promises to pay to the Administrative Agent for the account of each related Lender, (i) upon the written request of the Administrative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2.10.</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Payments, Computations,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expressly provided herein, all amounts to be paid or deposited by the Borrower hereunder shall be paid or deposited in accordance with the terms hereof no later than 12:00 p.m., New York, New York time, on the day when due in Dollars in immediately available funds to the depository account or accounts specified by the Administrative Agent of the Lender. Except as otherwise provided in Section 2.07,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Loan requested by the Borrower and approved by a Lender and the Administrative Agent pursuant to Section 2.01 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2.11.</w:t>
      </w:r>
    </w:p>
    <w:p>
      <w:pPr>
        <w:pStyle w:val="TextBody"/>
        <w:bidi w:val="0"/>
        <w:spacing w:before="0" w:after="240"/>
        <w:jc w:val="both"/>
        <w:rPr/>
      </w:pPr>
      <w:r>
        <w:rPr>
          <w:rFonts w:ascii="Times New Roman" w:hAnsi="Times New Roman"/>
          <w:color w:val="000000"/>
          <w:sz w:val="24"/>
          <w:u w:val="single"/>
        </w:rPr>
        <w:t xml:space="preserve">Collections and Allocations; Investment of Funds </w:t>
      </w:r>
      <w:r>
        <w:rPr>
          <w:rFonts w:ascii="Times New Roman" w:hAnsi="Times New Roman"/>
          <w:color w:val="000000"/>
          <w:sz w:val="24"/>
        </w:rPr>
        <w:t xml:space="preserve">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 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Successor Servicer unless otherwise designated by the Administrative Agent in writing.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 Business Days of receipt.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Servicer shall be entitled to retain and to be reimbursed for all amounts remitted by or on behalf of the Obligors to the Servicer under the terms of, or with respect to the related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Receivables, that represent ancillary fees, including late fees, extension fees, administrative fees or similar charges allowed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each Payment Date (i) during the Revolving Period, the Servicer shall direct the Account Bank, pursuant to the Monthly Report, to withdraw from the Reserve Account the Reserve Account Withdrawal Amount, if any, and deposit such amount into the Collection Account to be applied in accordance with Section 2.08 and (ii) following the occurrence of the Termination Date, the Servicer shall direct the Account Bank, pursuant to the Monthly Report, to withdraw the Reserve Account Amount from the Reserve Account and deposit such amount into the Collection Account to be applied in accordance with Section 2.08.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there are uninvested amounts on deposit in the Collection Account and/or the Reserve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Absent such written direction, funds in the Collection Account and Reserve Account shall remain uninvested. No Permitted Investment may be purchased at a premium. Any earnings (and losses) on the foregoing investments shall be for the account of the Borrower. Each of the Borrower and the Administrative Agent acknowledges that upon its written request and at no additional cost, it has the right to receive notification after the completion of each purchase and sale of permitted investments or Account Bank’s receipt of a broker’s confirmation. Each of the Borrower and the Administrative Agent agrees that such notifications shall not be provided by the Account Bank hereunder, and the Account Bank shall make available, upon request and in lieu of notifications, periodic account statements that reflect such investment activity. No statement need be made available for any account if no activity has occurred in such account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earnings on amounts in the Reserve Account shall (i) to the extent necessary, remain on deposit in the Reserve Account until the amount on deposit therein is equal to or greater than the Reserve Account Required Amount and (ii) be deposited into the Collection Account if the amount on deposit in the Reserve Account is greater than the Reserve Account Required Amount after giving effect to all withdrawals and deposits to the Reserve Account on the immediately preceding Payment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2.12.</w:t>
      </w:r>
    </w:p>
    <w:p>
      <w:pPr>
        <w:pStyle w:val="TextBody"/>
        <w:bidi w:val="0"/>
        <w:spacing w:before="0" w:after="240"/>
        <w:jc w:val="both"/>
        <w:rPr/>
      </w:pPr>
      <w:r>
        <w:rPr>
          <w:rFonts w:ascii="Times New Roman" w:hAnsi="Times New Roman"/>
          <w:color w:val="000000"/>
          <w:sz w:val="24"/>
          <w:u w:val="single"/>
        </w:rPr>
        <w:t xml:space="preserve">Fees </w:t>
      </w:r>
      <w:r>
        <w:rPr>
          <w:rFonts w:ascii="Times New Roman" w:hAnsi="Times New Roman"/>
          <w:color w:val="000000"/>
          <w:sz w:val="24"/>
        </w:rPr>
        <w:t xml:space="preserve">The Borrower hereby agrees to pay to the Administrative Agent, for the account of the related Lenders, monthly in arrears, the Unused Fee from the Collection Account in accordance with Section 2.08. Payments of the Unused Fee shall be allocated and paid to Owners based upon their respective Invested Percentages for the applicable Interest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any Successor Servicer, the Backup Servicer, the Account Bank and the Custodian shall be entitled to receive any accrued and unpaid Servicing Fee, Backup Servicing Fee, Account Bank Fee and Custodian Fee due to them, respectively, in accordance with Section 2.08.</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have paid to the Administrative Agent, on or before the Restatement Closing Date, any fees set forth in the Fee Letter to be paid on the Restatement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in immediately available funds.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2.13.</w:t>
      </w:r>
    </w:p>
    <w:p>
      <w:pPr>
        <w:pStyle w:val="TextBody"/>
        <w:bidi w:val="0"/>
        <w:spacing w:before="0" w:after="240"/>
        <w:jc w:val="both"/>
        <w:rPr/>
      </w:pPr>
      <w:r>
        <w:rPr>
          <w:rFonts w:ascii="Times New Roman" w:hAnsi="Times New Roman"/>
          <w:color w:val="000000"/>
          <w:sz w:val="24"/>
          <w:u w:val="single"/>
        </w:rPr>
        <w:t xml:space="preserve">Increased Costs; Capital Adequacy; Illegality; Rating Requests </w:t>
      </w:r>
      <w:r>
        <w:rPr>
          <w:rFonts w:ascii="Times New Roman" w:hAnsi="Times New Roman"/>
          <w:color w:val="000000"/>
          <w:sz w:val="24"/>
        </w:rPr>
        <w:t>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Excluded Taxes and any Indemnified Taxes), duty or other charge with respect to a Loan hereunder, or on any payment made hereunder, (B) impose any cost pursuant to Section 2.13(f), (C)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(D) impose any other condition affecting a Loan or an Affected Party’s rights hereunder, then within [***]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either (i) the introduction of or any change in or in the interpretation of any law, guideline, rule, regulation, directive or request (including the Dodd-Frank Act, Basel II or Basel III) 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then from time to time, within [***]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is required to pay additional amounts to or for the benefit of any Affected Party pursuant to this Section as a result of a change of Applicable Law occurring after such Affected Party first became a party to this Agreement,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Required Rating from the Rating Agency specified in the Rating Request within [***] days following delivery of any Rating Request, and shall provide directly or through distribution to the Administrative Agent or Owner any information such Rating Agency may require for purposes of providing and monitoring the Required Rating. The Borrower shall pay the initial fees payable to the Rating Agency in connection with a Rating Request, and the Servicer shall pay any subsequent or ongoing fees.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2.14.</w:t>
      </w:r>
    </w:p>
    <w:p>
      <w:pPr>
        <w:pStyle w:val="TextBody"/>
        <w:bidi w:val="0"/>
        <w:spacing w:before="0" w:after="240"/>
        <w:jc w:val="both"/>
        <w:rPr/>
      </w:pPr>
      <w:r>
        <w:rPr>
          <w:rFonts w:ascii="Times New Roman" w:hAnsi="Times New Roman"/>
          <w:color w:val="000000"/>
          <w:sz w:val="24"/>
          <w:u w:val="single"/>
        </w:rPr>
        <w:t xml:space="preserve">Taxes </w:t>
      </w:r>
      <w:r>
        <w:rPr>
          <w:rFonts w:ascii="Times New Roman" w:hAnsi="Times New Roman"/>
          <w:color w:val="000000"/>
          <w:sz w:val="24"/>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 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Borrower will indemnify each Lender and the Administrative Agent for the full amount of Indemnified Taxes (including any Indemnified Taxes imposed by any jurisdiction on such Additional Amounts) paid by such Lender or the Administrative Agent or required to be withheld or deducted from a payment to such Lender or the Administrative Agent, as the case may be, and any liability (including penalties, interest and expenses) arising therefrom or with respect thereto whether or not such Indemnified Taxes were correctly or legally imposed or asserted by the relevant governmental authority; provided, however, that the Lender or Administrative Agent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 days from the date a Lender or the Administrative Agent, as the case may be, makes demand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soon as practicable and at least within [***] days after the date of any payment by the Borrower of any Taxes pursuant to this Section, the Borrower will furnish to the Administrative Agent, at its address set forth under its name on the signature pages hereof, appropriate evidence of payment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Lender is a Non-U.S. Lender, such Lender shall, to the extent that it may then do so under Applicable Law, deliver to the Borrower, with a copy to the Administrative Agent and the Account Bank, (i) on or prior to becoming a Lender under this Agreement, (ii) within [***]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 Upon request from the Account Bank, the Borrower will provide such additional information that it may have to assist the Account Bank in making any withholdings or informational reports,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Account Bank, at the time or times prescribed by Applicable Law and at such time or times reasonably requested by the Borrower or the Administrative Agent, such documentation prescribed by Applicable Law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(including as prescribed by Code Section 1471(b)(3)(C)(i)) and such additional documentation reasonably requested by the Borrower or the Administrative Agent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effect on the Administrative Agent or Lender and (ii) the Borrower shall reimburse the Administrative Agent or Lender for any reasonable expenses incurred in the delivery of such certificate, form or other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Securitizations.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any Business Day, the Borrower shall have the right to prepay all or (subject to clause (iv) below) a portion of the Loans Outstanding and request the Administrative Agent to release its security interest and Lien on the related Receivables (and the related Collateral) in connection with a Securitization, subject to the following terms and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Borrower shall have given the Administrative Agent, each Hedge Counterparty, the Account Bank, the Backup Servicer and the Custodian at least[***]Business Days’ prior written notice of its intent to effect a Securitization and, at least [***]Business Days prior to the closing of the Securitization, shall provide the Administrative Agent with all information reasonably required by it to produce the related Securitization Release, substantially in the form attached hereto as </w:t>
      </w:r>
      <w:r>
        <w:rPr>
          <w:rFonts w:ascii="Times New Roman" w:hAnsi="Times New Roman"/>
          <w:color w:val="000000"/>
          <w:sz w:val="24"/>
          <w:u w:val="single"/>
        </w:rPr>
        <w:t>Exhibit 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Unless a Securitization is to be effected on a Payment Date (in which case the relevant calculations with respect to such Securitization shall be reflected on the applicable Monthly Report), the Borrower shall deliver to the Administrative Agent a Securitization Date Certificate and the Servicer shall deliver an updated data tape, together with evidence to the reasonable satisfaction of the Administrative Agent that the Borrower shall have sufficient funds on the related Securitization Date to effect such Securitization in accordance with this Agreement, which funds may come from the proceeds of sales of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in connection with such Securitization (which sales must be made in arm’s-length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w:t>
      </w:r>
      <w:r>
        <w:rPr>
          <w:rFonts w:ascii="Times New Roman" w:hAnsi="Times New Roman"/>
          <w:color w:val="000000"/>
          <w:sz w:val="24"/>
          <w:u w:val="single"/>
        </w:rPr>
        <w:t>Sections 5.01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5.02</w:t>
      </w:r>
      <w:r>
        <w:rPr>
          <w:color w:val="000000"/>
        </w:rPr>
        <w:t xml:space="preserve"> </w:t>
      </w:r>
      <w:r>
        <w:rPr>
          <w:rFonts w:ascii="Times New Roman" w:hAnsi="Times New Roman"/>
          <w:color w:val="000000"/>
          <w:sz w:val="24"/>
        </w:rPr>
        <w:t>are true and correct in all material respects, except to the extent relating to an earlier date, (C) no Unmatured Termination Event, Termination Event, Servicer Termination Event or Unmatured Servicer Termination Event, has occurred or results from such Securitization, and (D) (1) unless the aggregate Loans Outstanding and all other Obligations are fully repaid with the proceeds from such Securitization and/or a capital contribution from the Parent, the aggregate Loans Outstanding shall exceed $[***] after giving effect to such Securitization and (2) any remaining Receivables with respect to which more than [***]% of any Scheduled Payment remains unpaid for more than [***] days after the related due date as of the Securitization Date will no longer be considered an Eligible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On the related Securitization Date, the Administrative Agent shall have received, for the benefit of the Secured Parties, in immediately available funds, (A) an amount equal to all unpaid Interest (including Interest not yet accrued) to the extent reasonably estimated by the Administrative Agent to be attributable to that portion of the aggregate Loans Outstanding to be paid in connection with the Securitization, (B) an aggregate amount equal to the sum of all other amounts due and owing to the Administrative Agent, the Owner Trustee, the Lenders and the Hedge Counterparties, as applicable, under this Agreement and the other Basic Documents, to the extent accrued to such date and to accrue thereafter (including any Breakage Costs and Hedge Breakage Costs) and (C) all other Aggregate Unpaids then due and payable with respect thereto. The amount paid pursuant to (1) clause (A) shall be deposited in the Collection Account to be applied as Available Funds pursuant to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on the next Payment Date (or on such Payment Date, if the Securitization Date is on a Payment Date) and (2) clauses (B) and (C) 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clause (A), the Borrower will remit or cause to be remitted the amount of such excess to the Administrative Agent promptly upon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related Securitization Date, the Servicer shall have received, in immediately available funds, all amounts due and payable by the Borrower to the Servicer under this Agreement.</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agrees to pay the reasonable legal fees, expenses and indemnities of the Administrative Agent, the Custodian, the Backup Servicer, the Account Bank, the Servicer and the Lenders in connection with any Securitization (including expenses incurred in connection with the release of the Lien of the Administrative Agent, the Lenders and any other party having such an interest in the Receivables in connection with such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Receivables (and the other related Collateral) to be released to the Borrower, including a Securitization Release, in favor of the Borrower as the Borrower may reasonably request, (ii) deliver or cause to be delivered any portion of the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Sharing of Payments,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other than as expressly provided elsewhere herein, any Lender shall obtain on account of the Notes owned by it any payment in excess of its Invested Percentage in such payment, such Lender shall immediately (i) notify the Administrative Agent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The Administrative Agent will keep records (which shall be conclusive and binding in the absence of manifest error) of participations purchased under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2.17.</w:t>
      </w:r>
    </w:p>
    <w:p>
      <w:pPr>
        <w:pStyle w:val="TextBody"/>
        <w:bidi w:val="0"/>
        <w:spacing w:before="0" w:after="240"/>
        <w:jc w:val="both"/>
        <w:rPr/>
      </w:pPr>
      <w:r>
        <w:rPr>
          <w:rFonts w:ascii="Times New Roman" w:hAnsi="Times New Roman"/>
          <w:color w:val="000000"/>
          <w:sz w:val="24"/>
          <w:u w:val="single"/>
        </w:rPr>
        <w:t xml:space="preserve">The Account Bank </w:t>
      </w:r>
      <w:r>
        <w:rPr>
          <w:rFonts w:ascii="Times New Roman" w:hAnsi="Times New Roman"/>
          <w:color w:val="000000"/>
          <w:sz w:val="24"/>
        </w:rPr>
        <w:t>The Borrower hereby appoints [***] as the initial Account Bank. All payments of amounts due and payable in respect of the Obligations that are to be made from amounts withdrawn from the Collection Account or the Reserve Account shall be made on behalf of the Borrower by the Account Bank in accordance with Section 2.08.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be compensated for its activities hereunder and the Account Control Agreement by receiving the Account Bank Fee. The Account Bank Fee shall be payable in accordance with the priorities specified in Section 2.08 or, at the option of UACC, may be paid directly to the Account Bank by UACC. The Borrower shall indemnify the Account Bank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Account Bank of any indemnification or other obligation of Borrower), other than in connection with the willful misconduct, gross negligence or bad faith on the part of the Account Bank, arising out of or in connection with (i) 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Section 2.08. The provisions of this Section shall survive the resignation or removal of any party and the termination or assignment of this Agreement. Anything in this Agreement or the Account Control Agreement to the contrary notwithstanding, in no event shall Account Bank be liable for special, indirect or consequential loss or damage of any kind whatsoever (including, but not limited to, lost profits), even if Account Bank has been advised of the likelihood of such loss or damage and regardless of the form of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INDEMNIFICATION SHALL APPLY WHETHER OR NOT SUCH LIABILITIES AND COSTS ARE IN ANY WAY OR TO ANY EXTENT OWED, IN WHOLE OR IN PART, UNDER ANY CLAIM OR THEORY OF STRICT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be liable in accordance herewith only to the extent of the obligations specifically undertaken by the Account Bank in such capacity herein and under the Account Control Agreement. No implied covenants or obligations shall be read into this Agreement or the Account Control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liable 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error of judgment made in good faith by one of its officers;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charged with knowledge of any event or information, including any Termination Event or Unmatured Termination Event unless a Responsible Officer of the Account Bank obtains actual knowledge of such event or receives written notice of such event or information from the Borrower, the Servicer, any Secured Party or the Administrative Agent, as the case may be, and shall have no duty to take any action to determine whether any such event has occurred.</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this Section, the Account Bank shall have no duty (i) to see to, or with respect to the accuracy of,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re-calculate or confirm or verify the contents of any reports or certificates of the Servicer (other than in its capacity as Backup Servicer in accordance with its express duties as such undertaken herein) or the Borrower or any other Person delivered to the Account Bank pursuant to this Agreement or the Account Control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 the Borrower or any other Person under this Agreement (other than in its capacity as Backup Servicer in accordance with its express duties as such undertaken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Account Bank shall be under no duty to inquire into or investigate the validity, accuracy or content of any such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Account Bank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security or indemnity reasonably satisfactory to it against the costs, expenses and liabilities that may be incurred therein or thereby.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indemnity reasonably satisfactory to it against such cost, expense or liability as a condition to so proceeding. The reasonable expense of every such examination shall be paid by the Borrower or, if paid by the Account Bank, shall be reimbursed by the Borrower pursuant to Section 2.08.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have no duties or responsibilities except those that are specifically set forth herein and the other Basic Documents to which it is a party, and no implied covenants or obligations shall be read into this Agreement against the Account Bank. The Account Bank shall have the right to request instructions from the Administrative Agent or the Servicer with respect to any act, action or failure to act in connection with and as set forth in this Agreement, and the Account Bank shall be entitled to refrain from taking such action and continue to refrain from acting unless and until the Account Bank shall have received written instructions from the Administrative Agent or the Servicer, as applicable, without incurring any liability therefor to the Administrative Agent, the Borrower, the Servicer or any other person, and shall further be entitled to conclusively rely on any such instruction received.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PARAGRAPH SHALL APPLY WHETHER OR NOT SUCH LIABILITIES ARE IN ANY WAY OR TO ANY EXTENT OWED, IN WHOLE OR IN PART, UNDER ANY CLAIM OR THEORY OF STRICT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Account Bank to the contrary.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imputed with any knowledge of, or information possessed or obtained by the Backup Servicer or any other Person, or any affiliate, line of business, or other division of [***] (and vice versa). Information contained in any reports (including Monthly Reports) delivered to the Account Bank and any other publicly available information shall not constitute actual or constructive knowledge or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Before the Account Bank acts or refrains from acting, it may require an officer’s certificate or an opinion of counsel, as applicable (at the expense of the party requesting the Account Bank act or refrain from acting). The Account Bank shall not be liable for any action it takes, suffers or omits to take in good faith in reliance on such officer’s certificate or opinion of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the Account Bank shall not be required to take any action that is not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 of the Account Bank to perform any permissive or discretionary act enumerated in this Agreement or any related document shall not be construed as a duty.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Account Bank shall not be responsible for the recitals in this Agreement (which are the statements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no event shall Account Bank be liable either directly or indirectly for losses or delays resulting from force majeure, computer malfunctions, interruption of communication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facilities, labor difficulties or other causes, in each case to the extent beyond Account Bank’s reasonable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rPr>
        <w:t xml:space="preserve">The rights, benefits, protections and indemnities afforded to the Account Bank hereunder shall apply equally to the Account Bank under any other document to which it is a party and to any other capacities of [***], including as Backup Servicer, Certificate Registrar and, if applicable, as successor Custodian, </w:t>
      </w:r>
      <w:r>
        <w:rPr>
          <w:rFonts w:ascii="Times New Roman" w:hAnsi="Times New Roman"/>
          <w:i/>
          <w:color w:val="000000"/>
          <w:sz w:val="24"/>
        </w:rPr>
        <w:t>mutatis mutandis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2.18.</w:t>
      </w:r>
    </w:p>
    <w:p>
      <w:pPr>
        <w:pStyle w:val="TextBody"/>
        <w:bidi w:val="0"/>
        <w:spacing w:before="0" w:after="240"/>
        <w:jc w:val="both"/>
        <w:rPr/>
      </w:pPr>
      <w:r>
        <w:rPr>
          <w:rFonts w:ascii="Times New Roman" w:hAnsi="Times New Roman"/>
          <w:color w:val="000000"/>
          <w:sz w:val="24"/>
          <w:u w:val="single"/>
        </w:rPr>
        <w:t>Benchmark Replacement Setting Benchmark Replacement</w:t>
      </w:r>
      <w:r>
        <w:rPr>
          <w:rFonts w:ascii="Times New Roman" w:hAnsi="Times New Roman"/>
          <w:color w:val="000000"/>
          <w:sz w:val="24"/>
        </w:rPr>
        <w:t xml:space="preserve">. Notwithstanding anything to the contrary herein or in any other Basic Document, upon the occurrence of a Benchmark Transition Event, the Administrative Agent may amend this Agreement to replace the then-current Benchmark with a Benchmark Replacement upon satisfaction of the notice requirements in </w:t>
      </w:r>
      <w:r>
        <w:rPr>
          <w:rFonts w:ascii="Times New Roman" w:hAnsi="Times New Roman"/>
          <w:color w:val="000000"/>
          <w:sz w:val="24"/>
          <w:u w:val="single"/>
        </w:rPr>
        <w:t>Section 2.18(c)</w:t>
      </w:r>
      <w:r>
        <w:rPr>
          <w:color w:val="000000"/>
        </w:rPr>
        <w:t xml:space="preserve"> </w:t>
      </w:r>
      <w:r>
        <w:rPr>
          <w:rFonts w:ascii="Times New Roman" w:hAnsi="Times New Roman"/>
          <w:color w:val="000000"/>
          <w:sz w:val="24"/>
        </w:rPr>
        <w:t>below. Any such amendment with respect to a Benchmark Transition Event will become effective at 5:00 p.m. (New York City time) on the fifth (5</w:t>
      </w:r>
      <w:r>
        <w:rPr>
          <w:rFonts w:ascii="Times New Roman" w:hAnsi="Times New Roman"/>
          <w:color w:val="000000"/>
          <w:sz w:val="16"/>
        </w:rPr>
        <w:t>th</w:t>
      </w:r>
      <w:r>
        <w:rPr>
          <w:rFonts w:ascii="Times New Roman" w:hAnsi="Times New Roman"/>
          <w:color w:val="000000"/>
          <w:sz w:val="24"/>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2.18(a) will occur prior to the applicable Benchmark Transition Start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color w:val="000000"/>
          <w:sz w:val="24"/>
          <w:u w:val="single"/>
        </w:rPr>
        <w:t>Section 2.18(d)</w:t>
      </w:r>
      <w:r>
        <w:rPr>
          <w:color w:val="000000"/>
        </w:rPr>
        <w:t xml:space="preserve"> </w:t>
      </w:r>
      <w:r>
        <w:rPr>
          <w:rFonts w:ascii="Times New Roman" w:hAnsi="Times New Roman"/>
          <w:color w:val="000000"/>
          <w:sz w:val="24"/>
        </w:rPr>
        <w:t xml:space="preserve">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4"/>
          <w:u w:val="single"/>
        </w:rPr>
        <w:t>Section 2.18</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w:t>
      </w:r>
      <w:r>
        <w:rPr>
          <w:rFonts w:ascii="Times New Roman" w:hAnsi="Times New Roman"/>
          <w:color w:val="000000"/>
          <w:sz w:val="24"/>
          <w:u w:val="single"/>
        </w:rPr>
        <w:t>Section 2.18</w:t>
      </w:r>
      <w:r>
        <w:rPr>
          <w:rFonts w:ascii="Times New Roman" w:hAnsi="Times New Roman"/>
          <w:color w:val="000000"/>
          <w:sz w:val="24"/>
        </w:rPr>
        <w:t xml:space="preserve">. None of the Owner Trustee, the Account Bank or the Backup Servicer shall be (i) responsible for making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the Account Bank and the Backup Servicer relating to any such determination, decision or election by the Administrative Agent or the Borrower.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 herein or in any other Basic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(ISOCO)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(ISOCO)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Benchmark Unavailability Period</w:t>
      </w:r>
      <w:r>
        <w:rPr>
          <w:rFonts w:ascii="Times New Roman" w:hAnsi="Times New Roman"/>
          <w:color w:val="000000"/>
          <w:sz w:val="24"/>
        </w:rPr>
        <w:t>. Upon the Borrower Representative’s receipt of notice of the commencement of a Benchmark Unavailability Period, the Borrower Representative may revoke any request for a Loan of, conversion to or continuation of any Loan to be made, converted or continued during any Benchmark Unavailability Period and, failing that, the Borrower Representative will be deemed to have converted any such request into a request for a Borrowing of or conversion to Alternate Base Rate Loans. During any Benchmark Unavailability Period, the component of Alternate Base Rate based upon the then-current Benchmark or such tenor for such Benchmark, as applicable, will not be used in any determination of Alternate Base Rate.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3</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3.01.</w:t>
      </w:r>
    </w:p>
    <w:p>
      <w:pPr>
        <w:pStyle w:val="TextBody"/>
        <w:bidi w:val="0"/>
        <w:spacing w:before="0" w:after="240"/>
        <w:jc w:val="both"/>
        <w:rPr/>
      </w:pPr>
      <w:r>
        <w:rPr>
          <w:rFonts w:ascii="Times New Roman" w:hAnsi="Times New Roman"/>
          <w:color w:val="000000"/>
          <w:sz w:val="24"/>
          <w:u w:val="single"/>
        </w:rPr>
        <w:t xml:space="preserve">Collateral and Back-Up Collateral </w:t>
      </w:r>
      <w:r>
        <w:rPr>
          <w:rFonts w:ascii="Times New Roman" w:hAnsi="Times New Roman"/>
          <w:color w:val="000000"/>
          <w:sz w:val="24"/>
        </w:rPr>
        <w:t xml:space="preserve">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income, products, accessions and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grant under this Section does not constitute and is not intended to result in a creation or an assumption by the Administrative Agent or any of the Secured Parties of any obligation of the Borrower or any other Person in connection with any or all of the Collateral or under any agreement or instrument relating thereto. Anything herein to the contrary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neither the Administrative Agent nor any Secured Party shall have any obligations or liability under the Collateral by reason of this Agreement, nor shall the Administrative Agent or any Secured Party be obligated to perform any of the obligations or duties of the Borrower thereunder or to take any action to collect or enforce any claim for payment assigned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grant of security interest, no account, instrument, chattel paper or other obligation or property of any kind due from, owned by or belonging to a Sanctioned Person shall be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3.02.</w:t>
      </w:r>
    </w:p>
    <w:p>
      <w:pPr>
        <w:pStyle w:val="TextBody"/>
        <w:bidi w:val="0"/>
        <w:spacing w:before="0" w:after="240"/>
        <w:jc w:val="both"/>
        <w:rPr/>
      </w:pPr>
      <w:r>
        <w:rPr>
          <w:rFonts w:ascii="Times New Roman" w:hAnsi="Times New Roman"/>
          <w:color w:val="000000"/>
          <w:sz w:val="24"/>
          <w:u w:val="single"/>
        </w:rPr>
        <w:t xml:space="preserve">Release of Collateral; No Legal Title </w:t>
      </w:r>
      <w:r>
        <w:rPr>
          <w:rFonts w:ascii="Times New Roman" w:hAnsi="Times New Roman"/>
          <w:color w:val="000000"/>
          <w:sz w:val="24"/>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(i) reallocation of the Receivables and related Collateral in connection with a prepayment pursuant to Section 2.06 or a Securitization pursuant to Section 2.15 or (ii) the Facility Termination Date, the Administrative Agent shall, at the Borrower’s expense, upon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For the avoidance of doubt, (i) the Borrower shall not be permitted to remove any Contract or related Collateral from the lien of this Agreement, (ii) the Borrower shall not be permitted to sell, transfer or assign any Receivable to any party and (iii) the Administrative Agent shall not release its interest in any Contract or related Collateral except in accordance with the provisions of this </w:t>
      </w:r>
      <w:r>
        <w:rPr>
          <w:rFonts w:ascii="Times New Roman" w:hAnsi="Times New Roman"/>
          <w:color w:val="000000"/>
          <w:sz w:val="24"/>
          <w:u w:val="single"/>
        </w:rPr>
        <w:t>Section 3.02</w:t>
      </w:r>
      <w:r>
        <w:rPr>
          <w:rFonts w:ascii="Times New Roman" w:hAnsi="Times New Roman"/>
          <w:color w:val="000000"/>
          <w:sz w:val="24"/>
        </w:rPr>
        <w:t xml:space="preserve">, </w:t>
      </w:r>
      <w:r>
        <w:rPr>
          <w:rFonts w:ascii="Times New Roman" w:hAnsi="Times New Roman"/>
          <w:color w:val="000000"/>
          <w:sz w:val="24"/>
          <w:u w:val="single"/>
        </w:rPr>
        <w:t>Section 2.15</w:t>
      </w:r>
      <w:r>
        <w:rPr>
          <w:rFonts w:ascii="Times New Roman" w:hAnsi="Times New Roman"/>
          <w:color w:val="000000"/>
          <w:sz w:val="24"/>
        </w:rPr>
        <w:t xml:space="preserve">, or </w:t>
      </w:r>
      <w:r>
        <w:rPr>
          <w:rFonts w:ascii="Times New Roman" w:hAnsi="Times New Roman"/>
          <w:color w:val="000000"/>
          <w:sz w:val="24"/>
          <w:u w:val="single"/>
        </w:rPr>
        <w:t>Section 5.04</w:t>
      </w:r>
      <w:r>
        <w:rPr>
          <w:color w:val="000000"/>
        </w:rPr>
        <w:t xml:space="preserve"> </w:t>
      </w:r>
      <w:r>
        <w:rPr>
          <w:rFonts w:ascii="Times New Roman" w:hAnsi="Times New Roman"/>
          <w:color w:val="000000"/>
          <w:sz w:val="24"/>
        </w:rPr>
        <w:t>of this Agreement or unless the Borrower shall have deposited an amount equal to the Release Price with respect to such Receivable into the Collection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3.03.</w:t>
      </w:r>
    </w:p>
    <w:p>
      <w:pPr>
        <w:pStyle w:val="TextBody"/>
        <w:bidi w:val="0"/>
        <w:spacing w:before="0" w:after="240"/>
        <w:jc w:val="both"/>
        <w:rPr/>
      </w:pPr>
      <w:r>
        <w:rPr>
          <w:rFonts w:ascii="Times New Roman" w:hAnsi="Times New Roman"/>
          <w:color w:val="000000"/>
          <w:sz w:val="24"/>
          <w:u w:val="single"/>
        </w:rPr>
        <w:t xml:space="preserve">Protection of Security Interest; Administrative Agent, as Attorney-in-Fact </w:t>
      </w:r>
      <w:r>
        <w:rPr>
          <w:rFonts w:ascii="Times New Roman" w:hAnsi="Times New Roman"/>
          <w:color w:val="000000"/>
          <w:sz w:val="24"/>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Borrower fails to perform any of its obligations hereunder after [***]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3.04.</w:t>
      </w:r>
    </w:p>
    <w:p>
      <w:pPr>
        <w:pStyle w:val="TextBody"/>
        <w:bidi w:val="0"/>
        <w:spacing w:before="0" w:after="240"/>
        <w:jc w:val="both"/>
        <w:rPr/>
      </w:pPr>
      <w:r>
        <w:rPr>
          <w:rFonts w:ascii="Times New Roman" w:hAnsi="Times New Roman"/>
          <w:color w:val="000000"/>
          <w:sz w:val="24"/>
          <w:u w:val="single"/>
        </w:rPr>
        <w:t xml:space="preserve">Assignment of the Purchase Agreement </w:t>
      </w:r>
      <w:r>
        <w:rPr>
          <w:rFonts w:ascii="Times New Roman" w:hAnsi="Times New Roman"/>
          <w:color w:val="000000"/>
          <w:sz w:val="24"/>
        </w:rPr>
        <w:t>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3.05.</w:t>
      </w:r>
    </w:p>
    <w:p>
      <w:pPr>
        <w:pStyle w:val="TextBody"/>
        <w:bidi w:val="0"/>
        <w:spacing w:before="0" w:after="240"/>
        <w:jc w:val="both"/>
        <w:rPr/>
      </w:pPr>
      <w:r>
        <w:rPr>
          <w:rFonts w:ascii="Times New Roman" w:hAnsi="Times New Roman"/>
          <w:color w:val="000000"/>
          <w:sz w:val="24"/>
          <w:u w:val="single"/>
        </w:rPr>
        <w:t xml:space="preserve">Waiver of Certain Laws </w:t>
      </w:r>
      <w:r>
        <w:rPr>
          <w:rFonts w:ascii="Times New Roman" w:hAnsi="Times New Roman"/>
          <w:color w:val="000000"/>
          <w:sz w:val="24"/>
        </w:rPr>
        <w:t xml:space="preserve">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4</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CONDITIONS OF CLOSING AND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4.01.</w:t>
      </w:r>
    </w:p>
    <w:p>
      <w:pPr>
        <w:pStyle w:val="TextBody"/>
        <w:bidi w:val="0"/>
        <w:spacing w:before="0" w:after="240"/>
        <w:jc w:val="both"/>
        <w:rPr/>
      </w:pPr>
      <w:r>
        <w:rPr>
          <w:rFonts w:ascii="Times New Roman" w:hAnsi="Times New Roman"/>
          <w:color w:val="000000"/>
          <w:sz w:val="24"/>
          <w:u w:val="single"/>
        </w:rPr>
        <w:t xml:space="preserve">Conditions to Closing and Initial Loan </w:t>
      </w:r>
      <w:r>
        <w:rPr>
          <w:rFonts w:ascii="Times New Roman" w:hAnsi="Times New Roman"/>
          <w:color w:val="000000"/>
          <w:sz w:val="24"/>
        </w:rPr>
        <w:t>The Closing Date shall not occur and no Lender shall be obligated to make any Lender Advance hereunder on the occasion of the Initial Loan, nor shall any Lender, the Administrative Agent, the Backup Servicer, the Account Bank or the Custodian be obligated to take, fulfill or perform any other action hereunder, until, in the case of (i) the Closing Date, the conditions set forth in clauses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4.02.</w:t>
      </w:r>
    </w:p>
    <w:p>
      <w:pPr>
        <w:pStyle w:val="TextBody"/>
        <w:bidi w:val="0"/>
        <w:spacing w:before="0" w:after="240"/>
        <w:jc w:val="both"/>
        <w:rPr/>
      </w:pPr>
      <w:r>
        <w:rPr>
          <w:rFonts w:ascii="Times New Roman" w:hAnsi="Times New Roman"/>
          <w:color w:val="000000"/>
          <w:sz w:val="24"/>
          <w:u w:val="single"/>
        </w:rPr>
        <w:t>Conditions Precedent to All Loans</w:t>
      </w:r>
      <w:r>
        <w:rPr>
          <w:rFonts w:ascii="Times New Roman" w:hAnsi="Times New Roman"/>
          <w:color w:val="000000"/>
          <w:sz w:val="24"/>
        </w:rPr>
        <w:t>Each request for a Loan (including the Initial Loan) by the Borrower to a Lender shall be subject to the conditions set forth in Section 4.01 and the further conditions precedent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5</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5.01.</w:t>
      </w:r>
    </w:p>
    <w:p>
      <w:pPr>
        <w:pStyle w:val="TextBody"/>
        <w:bidi w:val="0"/>
        <w:spacing w:before="0" w:after="240"/>
        <w:jc w:val="both"/>
        <w:rPr/>
      </w:pPr>
      <w:r>
        <w:rPr>
          <w:rFonts w:ascii="Times New Roman" w:hAnsi="Times New Roman"/>
          <w:color w:val="000000"/>
          <w:sz w:val="24"/>
          <w:u w:val="single"/>
        </w:rPr>
        <w:t xml:space="preserve">Representations and Warranties of the Borrower </w:t>
      </w:r>
      <w:r>
        <w:rPr>
          <w:rFonts w:ascii="Times New Roman" w:hAnsi="Times New Roman"/>
          <w:color w:val="000000"/>
          <w:sz w:val="24"/>
        </w:rPr>
        <w:t>The Borrower represents and warrants, as of the Closing Date and each Funding Date,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licenses or other actions of any Person or of any Governmental Authority required for the due execution, delivery and performance by the Borrower of the Borrower Basic Documents have been obtained.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Bulk Sales</w:t>
      </w:r>
      <w:r>
        <w:rPr>
          <w:rFonts w:ascii="Times New Roman" w:hAnsi="Times New Roman"/>
          <w:color w:val="000000"/>
          <w:sz w:val="24"/>
        </w:rPr>
        <w:t>. The execution, delivery and performance of this Agreement do not require compliance with any “bulk sales” act or similar law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The transactions contemplated by the Borrower Basic Documents do not and will not render the Borrower not Solvent.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Selection Procedures</w:t>
      </w:r>
      <w:r>
        <w:rPr>
          <w:rFonts w:ascii="Times New Roman" w:hAnsi="Times New Roman"/>
          <w:color w:val="000000"/>
          <w:sz w:val="24"/>
        </w:rPr>
        <w:t>. No procedures that could reasonably be expected to be adverse to the interests of the Lenders were utilized by the Borrower in identifying and/or selecting Receivables when compared to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UACC in accordance with the Credit and Collection Policy in effect at the time of origination of such Receivable, and (b) if such Receivable was originated on or after the Closing Date, underwritten in accordance with the Credit and Collection Policy in effect at the time of origination but without giving effect to any amendment, supplement or modification thereto implemented in contravention of the requirements of Sections 6.01(h), 6.02(l) or 6.04(h), and (ii) serviced in accordance with the Credit and Collection Policy as in effect on the Closing Date, as such Credit and Collection Policy has been amended, supplemented or otherwise modified after the Closing Date, but without giving effect to any such amendment, supplement or modification implemented in contravention of the requirements of Sections 6.01(h), 6.02(l) or 6.04(h).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Exchange Act Compliance; Regulations T, U and X</w:t>
      </w:r>
      <w:r>
        <w:rPr>
          <w:rFonts w:ascii="Times New Roman" w:hAnsi="Times New Roman"/>
          <w:color w:val="000000"/>
          <w:sz w:val="24"/>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Quality of Title</w:t>
      </w:r>
      <w:r>
        <w:rPr>
          <w:rFonts w:ascii="Times New Roman" w:hAnsi="Times New Roman"/>
          <w:color w:val="000000"/>
          <w:sz w:val="24"/>
        </w:rPr>
        <w:t xml:space="preserve">.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the Account Bank, the Backup Servicer and any Secured Party in connection with this Agreement are true, complete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Location of Offices</w:t>
      </w:r>
      <w:r>
        <w:rPr>
          <w:rFonts w:ascii="Times New Roman" w:hAnsi="Times New Roman"/>
          <w:color w:val="000000"/>
          <w:sz w:val="24"/>
        </w:rPr>
        <w:t xml:space="preserve">.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Post Office Box; Local Bank Account; Collection Account</w:t>
      </w:r>
      <w:r>
        <w:rPr>
          <w:rFonts w:ascii="Times New Roman" w:hAnsi="Times New Roman"/>
          <w:color w:val="000000"/>
          <w:sz w:val="24"/>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Tradenames</w:t>
      </w:r>
      <w:r>
        <w:rPr>
          <w:rFonts w:ascii="Times New Roman" w:hAnsi="Times New Roman"/>
          <w:color w:val="000000"/>
          <w:sz w:val="24"/>
        </w:rPr>
        <w:t>. The Borrower has no trade names, fictitious names, assumed names or “doing business as” names or other names under which it has done or is doing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The Purchase Agreement is the only agreement pursuant to which the Borrower purchases Receivables and the related Contracts.</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Value Given</w:t>
      </w:r>
      <w:r>
        <w:rPr>
          <w:rFonts w:ascii="Times New Roman" w:hAnsi="Times New Roman"/>
          <w:color w:val="000000"/>
          <w:sz w:val="24"/>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 transfer is or may be voidable or subject to avoidance under any section of the Bankruptcy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Accounting</w:t>
      </w:r>
      <w:r>
        <w:rPr>
          <w:rFonts w:ascii="Times New Roman" w:hAnsi="Times New Roman"/>
          <w:color w:val="000000"/>
          <w:sz w:val="24"/>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is in compliance with Section 6.02(n).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Bankruptcy Filings</w:t>
      </w:r>
      <w:r>
        <w:rPr>
          <w:rFonts w:ascii="Times New Roman" w:hAnsi="Times New Roman"/>
          <w:color w:val="000000"/>
          <w:sz w:val="24"/>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The Borrower has no current or former employees. Neither the Borrower nor any ERISA Affiliate sponsors, contributes to or is required to contribute to any Pension Plan or any Multiemployer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u w:val="single"/>
        </w:rPr>
        <w:t>Accuracy of Representations and Warranties</w:t>
      </w:r>
      <w:r>
        <w:rPr>
          <w:rFonts w:ascii="Times New Roman" w:hAnsi="Times New Roman"/>
          <w:color w:val="000000"/>
          <w:sz w:val="24"/>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u w:val="single"/>
        </w:rPr>
        <w:t>Representations and Warranties in Purchase Agreement</w:t>
      </w:r>
      <w:r>
        <w:rPr>
          <w:rFonts w:ascii="Times New Roman" w:hAnsi="Times New Roman"/>
          <w:color w:val="000000"/>
          <w:sz w:val="24"/>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xml:space="preserve">. (i) The operations of the Borrower and its Subsidiaries and Affiliates are and have been conducted at all times in compliance with applicable Sanctions; (ii) none of the Borrower, its Affiliates or Subsidiaries, or any directors, officers, employees, agents or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representatives thereof, or any Person or representative that will act in any capacity in connection with or benefit from the facility established hereby, is a Sanctioned Person or is in violation of Sanctions; (iii) none of the Borrower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rFonts w:ascii="Times New Roman" w:hAnsi="Times New Roman"/>
          <w:color w:val="000000"/>
          <w:sz w:val="24"/>
          <w:u w:val="single"/>
        </w:rPr>
        <w:t>Anti-Corruption</w:t>
      </w:r>
      <w:r>
        <w:rPr>
          <w:rFonts w:ascii="Times New Roman" w:hAnsi="Times New Roman"/>
          <w:color w:val="000000"/>
          <w:sz w:val="24"/>
        </w:rPr>
        <w:t>.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5.02.</w:t>
      </w:r>
    </w:p>
    <w:p>
      <w:pPr>
        <w:pStyle w:val="TextBody"/>
        <w:bidi w:val="0"/>
        <w:spacing w:before="0" w:after="240"/>
        <w:jc w:val="both"/>
        <w:rPr/>
      </w:pPr>
      <w:r>
        <w:rPr>
          <w:rFonts w:ascii="Times New Roman" w:hAnsi="Times New Roman"/>
          <w:color w:val="000000"/>
          <w:sz w:val="24"/>
          <w:u w:val="single"/>
        </w:rPr>
        <w:t xml:space="preserve">Representations and Warranties of the Borrower Relating to this Agreement and the Receivables </w:t>
      </w:r>
      <w:r>
        <w:rPr>
          <w:rFonts w:ascii="Times New Roman" w:hAnsi="Times New Roman"/>
          <w:color w:val="000000"/>
          <w:sz w:val="24"/>
        </w:rPr>
        <w:t>The Borrower represents and warrants, as of the Closing Date and as of each Funding Date,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Security Interest</w:t>
      </w:r>
      <w:r>
        <w:rPr>
          <w:rFonts w:ascii="Times New Roman" w:hAnsi="Times New Roman"/>
          <w:color w:val="000000"/>
          <w:sz w:val="24"/>
        </w:rPr>
        <w:t xml:space="preserve">.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Collateral and, if this Agreement constitutes the grant of a security interest in such property, except for the interest of the Borrower in such property. The representations and warranties contained in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are true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Eligibility of Receivables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Electronic Contracts</w:t>
      </w:r>
      <w:r>
        <w:rPr>
          <w:rFonts w:ascii="Times New Roman" w:hAnsi="Times New Roman"/>
          <w:color w:val="000000"/>
          <w:sz w:val="24"/>
        </w:rPr>
        <w:t>.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 hereunder and under each Electronic Collateral Control Agreement. Prior to the Facility Termination Date, the Borrower will not have any right of access to the Warehouse Vault Partition under the E-Vault Access Agreement or otherwise.</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5.03.</w:t>
      </w:r>
    </w:p>
    <w:p>
      <w:pPr>
        <w:pStyle w:val="TextBody"/>
        <w:bidi w:val="0"/>
        <w:spacing w:before="0" w:after="240"/>
        <w:jc w:val="both"/>
        <w:rPr/>
      </w:pPr>
      <w:r>
        <w:rPr>
          <w:rFonts w:ascii="Times New Roman" w:hAnsi="Times New Roman"/>
          <w:color w:val="000000"/>
          <w:sz w:val="24"/>
          <w:u w:val="single"/>
        </w:rPr>
        <w:t xml:space="preserve">Representations and Warranties of the Servicer </w:t>
      </w:r>
      <w:r>
        <w:rPr>
          <w:rFonts w:ascii="Times New Roman" w:hAnsi="Times New Roman"/>
          <w:color w:val="000000"/>
          <w:sz w:val="24"/>
        </w:rPr>
        <w:t>The Servicer represents and warrants, as of the Closing Date and as of each Funding Date,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Due Qualification</w:t>
      </w:r>
      <w:r>
        <w:rPr>
          <w:rFonts w:ascii="Times New Roman" w:hAnsi="Times New Roman"/>
          <w:color w:val="000000"/>
          <w:sz w:val="24"/>
        </w:rPr>
        <w:t>. The Servicer is duly qualified to do business and is in good standing as a corporation, and has obtained all necessary licenses and approvals in all jurisdictions in which the ownership or lease of its property and or the conduct of its business, including the origination and servicing of the Receivables, requires such qualification, licenses or approvals.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Servicer of the Servicer Basic Documents have been obtained.</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Reports Accurate</w:t>
      </w:r>
      <w:r>
        <w:rPr>
          <w:rFonts w:ascii="Times New Roman" w:hAnsi="Times New Roman"/>
          <w:color w:val="000000"/>
          <w:sz w:val="24"/>
        </w:rPr>
        <w:t>. All Monthly Reports, information, exhibits, financial statements, documents, books, records or reports furnished or to be furnished by the Servicer to the Administrative Agent, the Account Bank, the Backup Servicer or any Secured Party in connection with this Agreement are accurate, true and correct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Servicer’s Performance</w:t>
      </w:r>
      <w:r>
        <w:rPr>
          <w:rFonts w:ascii="Times New Roman" w:hAnsi="Times New Roman"/>
          <w:color w:val="000000"/>
          <w:sz w:val="24"/>
        </w:rPr>
        <w:t>. The Servicer has the knowledge, the experience and the systems, financial and operational capacity available to timely perform each of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Compliance with Credit and Collection Policy</w:t>
      </w:r>
      <w:r>
        <w:rPr>
          <w:rFonts w:ascii="Times New Roman" w:hAnsi="Times New Roman"/>
          <w:color w:val="000000"/>
          <w:sz w:val="24"/>
        </w:rPr>
        <w:t>. The Servicer has, with respect to the Receivables, complied in all material respects with the Credit and Collection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Post Office Boxes; Local Bank Account; Collection Account</w:t>
      </w:r>
      <w:r>
        <w:rPr>
          <w:rFonts w:ascii="Times New Roman" w:hAnsi="Times New Roman"/>
          <w:color w:val="000000"/>
          <w:sz w:val="24"/>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The transactions contemplated by the Basic Documents do not and will not render the Servicer not Solvent.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(i) The operation of the Servicer and its Subsidiaries and Affiliates are and have been conducted at all times in compliance with applicable Sanctions; (ii) none of the Servicer, its Affiliates or Subsidiaries or any directors, officers, 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this Agreement.</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Anti-Corruption</w:t>
      </w:r>
      <w:r>
        <w:rPr>
          <w:rFonts w:ascii="Times New Roman" w:hAnsi="Times New Roman"/>
          <w:color w:val="000000"/>
          <w:sz w:val="24"/>
        </w:rPr>
        <w:t>.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ERISA Representations</w:t>
      </w:r>
      <w:r>
        <w:rPr>
          <w:rFonts w:ascii="Times New Roman" w:hAnsi="Times New Roman"/>
          <w:color w:val="000000"/>
          <w:sz w:val="24"/>
        </w:rPr>
        <w:t xml:space="preserve">. None of the Servicer or its ERISA Affiliates is a Benefit Plan Investor. None of the Servicer or its ERISA Affiliates sponsors, contributes to, has any obligation to contribute to, or has any liability with respect to any Pension Plan or Multiemployer Plan. No event has occurred or is expected to occur that might result, directly or indirectly, in any Lien pursuant to Section 4068 of ERISA being imposed on the property of the Servicer or its ERISA Affiliates.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5.04.</w:t>
      </w:r>
    </w:p>
    <w:p>
      <w:pPr>
        <w:pStyle w:val="TextBody"/>
        <w:bidi w:val="0"/>
        <w:spacing w:before="0" w:after="240"/>
        <w:jc w:val="both"/>
        <w:rPr/>
      </w:pPr>
      <w:r>
        <w:rPr>
          <w:rFonts w:ascii="Times New Roman" w:hAnsi="Times New Roman"/>
          <w:color w:val="000000"/>
          <w:sz w:val="24"/>
          <w:u w:val="single"/>
        </w:rPr>
        <w:t>Retransfer of Certain Receivables Exercise of Rights under Purchase Agreement</w:t>
      </w:r>
      <w:r>
        <w:rPr>
          <w:rFonts w:ascii="Times New Roman" w:hAnsi="Times New Roman"/>
          <w:color w:val="000000"/>
          <w:sz w:val="24"/>
        </w:rPr>
        <w:t xml:space="preserve">. The Borrower shall exercise its rights under Section 7.2 of the Purchase Agreement to require the Seller to repurchase any Receivable as to which an event described in such Section has occurred in accordance with the terms of the Purchase Agreement. Upon receipt of the Release Price in the Collection Account for any Receivable repurchased pursuant to Section 7.2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and Recoveries relating thereto, all rights to security for any such Receivable, and all proceeds and products of the foregoing; provided, however, that no such release shall be given effect unless Borrower has complied with the terms of any Hedging Agreement requiring that any Hedge Transaction related thereto be terminated in whole or in part and the Borrower has paid all Hedge Breakage Costs due to the related Hedge Counterparty with respect to such termination. The Administrative Agent shall, at the sole expense of the Servicer, execute such documents and instruments of release as may be prepared by the Servicer on behalf of the Borrower and take other such actions as shall reasonably be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requested by the Borrower to effect the release of such Receivable pursuant to this subsection.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Retransfer of Receivables for Breach of Servicing Covenant</w:t>
      </w:r>
      <w:r>
        <w:rPr>
          <w:rFonts w:ascii="Times New Roman" w:hAnsi="Times New Roman"/>
          <w:color w:val="000000"/>
          <w:sz w:val="24"/>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 of Release</w:t>
      </w:r>
      <w:r>
        <w:rPr>
          <w:rFonts w:ascii="Times New Roman" w:hAnsi="Times New Roman"/>
          <w:color w:val="000000"/>
          <w:sz w:val="24"/>
        </w:rPr>
        <w:t>. The Borrower or the Servicer, as applicable, shall provide written notice to the Administrative Agent and each Hedge Counterparty of any release of Receivables pursuant to Sections 5.04(a) or (b) prior to 12:00 p.m., New York, New York time, [***]Business Days prior to the related Release Date, and such notice shall include a calculation of the Borrowing Base after giving effect to such release, as well as representations and warranties by the Borrower that no Termination Event, Unmatured Termination Event, Servicer Termination Event or Unmatured Servicer Termination Event has occurred, that the Borrowing Base calculation included with such notice is accurate and that any required Hedging Agreements are in full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Restrictions on Repurchases and Retransfer</w:t>
      </w:r>
      <w:r>
        <w:rPr>
          <w:rFonts w:ascii="Times New Roman" w:hAnsi="Times New Roman"/>
          <w:color w:val="000000"/>
          <w:sz w:val="24"/>
        </w:rPr>
        <w:t>. Notwithstanding anything to the contrary set forth herein, neither the Borrower nor the Servicer shall repurchase or retransfer any Receivables, either individually or in a series of transactions, which is designed for the purpose of impacting the calculation of the “Annualized Default Ratio”, the “Annualized Net Loss Ratio”, the “Delinquency Ratio” or the “Extension Ratio”.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5.05.</w:t>
      </w:r>
    </w:p>
    <w:p>
      <w:pPr>
        <w:pStyle w:val="TextBody"/>
        <w:bidi w:val="0"/>
        <w:spacing w:before="0" w:after="240"/>
        <w:jc w:val="both"/>
        <w:rPr/>
      </w:pPr>
      <w:r>
        <w:rPr>
          <w:rFonts w:ascii="Times New Roman" w:hAnsi="Times New Roman"/>
          <w:color w:val="000000"/>
          <w:sz w:val="24"/>
          <w:u w:val="single"/>
        </w:rPr>
        <w:t xml:space="preserve">Representations and Warranties of the Backup Servicer </w:t>
      </w:r>
      <w:r>
        <w:rPr>
          <w:rFonts w:ascii="Times New Roman" w:hAnsi="Times New Roman"/>
          <w:color w:val="000000"/>
          <w:sz w:val="24"/>
        </w:rPr>
        <w:t>The Backup Servicer represents and warrants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The Backup Servicer has been duly organized, and is validly existing as a national banking association and in good standing under the laws of the United States,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Power and Authority; Due Authorization</w:t>
      </w:r>
      <w:r>
        <w:rPr>
          <w:rFonts w:ascii="Times New Roman" w:hAnsi="Times New Roman"/>
          <w:color w:val="000000"/>
          <w:sz w:val="24"/>
        </w:rPr>
        <w:t>. The Backup Servicer (i) has all necessary power, authority and legal right to (A) execute and deliver this Agreement and (B) carry out the terms of this Agreement and (ii) has duly authorized by all necessary action on its part the execution, delivery and performance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Binding Obligation</w:t>
      </w:r>
      <w:r>
        <w:rPr>
          <w:rFonts w:ascii="Times New Roman" w:hAnsi="Times New Roman"/>
          <w:color w:val="000000"/>
          <w:sz w:val="24"/>
        </w:rPr>
        <w:t>. This Agreement constitutes a legal, valid and binding obligation of the Backup Servicer enforceable against the Backup Servicer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Violation</w:t>
      </w:r>
      <w:r>
        <w:rPr>
          <w:rFonts w:ascii="Times New Roman" w:hAnsi="Times New Roman"/>
          <w:color w:val="000000"/>
          <w:sz w:val="24"/>
        </w:rPr>
        <w:t xml:space="preserve">. The consummation of the transactions contemplated by this Agreement and the fulfillment of the terms hereof will not (i) conflict with, result in any breach of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of the terms and provisions of, or constitute (with or without notice or lapse of time or both) a default under, the Backup Servicer’s organizational documents or any Contractual Obligation of the Backup Servicer, (ii) result in the creation or imposition of any Lien upon any of the Backup Servicer’s properties pursuant to the terms of any such organizational documents or Contractual Obligation, other than this Agreement, or (iii) violate any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Backup Servicer, threatened against the Backup Servicer, before any Governmental Authority (i) asserting the invalidity of this Agreement, (ii) seeking to prevent the consummation of any of the transactions contemplated by this Agreement, (iii) challenging the enforceability of a material portion of the Receivables or (iv) seeking any determination or ruling that could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Backup Servicer of this Agreement have been obtained.</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6</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6.01.</w:t>
      </w:r>
    </w:p>
    <w:p>
      <w:pPr>
        <w:pStyle w:val="TextBody"/>
        <w:bidi w:val="0"/>
        <w:spacing w:before="0" w:after="240"/>
        <w:jc w:val="both"/>
        <w:rPr/>
      </w:pPr>
      <w:r>
        <w:rPr>
          <w:rFonts w:ascii="Times New Roman" w:hAnsi="Times New Roman"/>
          <w:color w:val="000000"/>
          <w:sz w:val="24"/>
          <w:u w:val="single"/>
        </w:rPr>
        <w:t xml:space="preserve">Affirmative Covenants of the Borrower </w:t>
      </w:r>
      <w:r>
        <w:rPr>
          <w:rFonts w:ascii="Times New Roman" w:hAnsi="Times New Roman"/>
          <w:color w:val="000000"/>
          <w:sz w:val="24"/>
        </w:rPr>
        <w:t>Except as otherwise provided herein, from the date hereof until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The Borrower will comply in all material respects with all Applicable Laws, including those with respect to the Receivables and related Financed Vehicles.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Borrower will preserve and maintain its existence, rights, franchises and privileges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Performance and Compliance with Contracts</w:t>
      </w:r>
      <w:r>
        <w:rPr>
          <w:rFonts w:ascii="Times New Roman" w:hAnsi="Times New Roman"/>
          <w:color w:val="000000"/>
          <w:sz w:val="24"/>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Borrower Assets</w:t>
      </w:r>
      <w:r>
        <w:rPr>
          <w:rFonts w:ascii="Times New Roman" w:hAnsi="Times New Roman"/>
          <w:color w:val="000000"/>
          <w:sz w:val="24"/>
        </w:rPr>
        <w:t xml:space="preserve">.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Delivery of Collections</w:t>
      </w:r>
      <w:r>
        <w:rPr>
          <w:rFonts w:ascii="Times New Roman" w:hAnsi="Times New Roman"/>
          <w:color w:val="000000"/>
          <w:sz w:val="24"/>
        </w:rPr>
        <w:t>. The Borrower will deliver to the Servicer for further remittance to the Local Bank Account promptly (but in no event later than one Business Day after receipt) all Collections received by Borrower in respect of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Separate Corporate Existence</w:t>
      </w:r>
      <w:r>
        <w:rPr>
          <w:rFonts w:ascii="Times New Roman" w:hAnsi="Times New Roman"/>
          <w:color w:val="000000"/>
          <w:sz w:val="24"/>
        </w:rPr>
        <w:t>. The Borrower shall be in compliance with the special purpose entity requirements set forth in Section 6.02(n).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Termination Events</w:t>
      </w:r>
      <w:r>
        <w:rPr>
          <w:rFonts w:ascii="Times New Roman" w:hAnsi="Times New Roman"/>
          <w:color w:val="000000"/>
          <w:sz w:val="24"/>
        </w:rPr>
        <w:t>. The Borrower will provide the Administrative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Termination Event, Servicer Termination Event, Unmatured Termination Event and Unmatured Servicer Termination Event and, no later than [***] Business Days following the occurrence thereof, the Borrower will provide to the Administrative Agent an Officer’s Certificate setting forth the details of such event and the action that the Borrower proposes to take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will file and pay any and all Taxes, including those required to meet the obligations of the Basic Documents that are due and payable, not being contested in good faith and fully reserved for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Borrower will use the Principal Amounts only to acquire Receivables pursuant to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Reporting</w:t>
      </w:r>
      <w:r>
        <w:rPr>
          <w:rFonts w:ascii="Times New Roman" w:hAnsi="Times New Roman"/>
          <w:color w:val="000000"/>
          <w:sz w:val="24"/>
        </w:rPr>
        <w:t>. The Borrower will furnish or cause to be furnished to the Administrative Agent: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Monthly Reports</w:t>
      </w:r>
      <w:r>
        <w:rPr>
          <w:rFonts w:ascii="Times New Roman" w:hAnsi="Times New Roman"/>
          <w:color w:val="000000"/>
          <w:sz w:val="24"/>
        </w:rPr>
        <w:t>. Not later than each Reporting Date, a Monthly Report and such other information as reasonably requested by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Income Tax Liability</w:t>
      </w:r>
      <w:r>
        <w:rPr>
          <w:rFonts w:ascii="Times New Roman" w:hAnsi="Times New Roman"/>
          <w:color w:val="000000"/>
          <w:sz w:val="24"/>
        </w:rPr>
        <w:t>. Within [***]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 Business Days) specifying the nature of the items giving rise to such adjustments and the amounts thereof.</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Tax Returns</w:t>
      </w:r>
      <w:r>
        <w:rPr>
          <w:rFonts w:ascii="Times New Roman" w:hAnsi="Times New Roman"/>
          <w:color w:val="000000"/>
          <w:sz w:val="24"/>
        </w:rPr>
        <w:t xml:space="preserve">. Upon demand by the Administrative Agent, copies of all Tax returns and reports filed by the Borrower, or in which the Borrower was included on a consolidated or combined basis (excluding sales, use and like taxes).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Representations</w:t>
      </w:r>
      <w:r>
        <w:rPr>
          <w:rFonts w:ascii="Times New Roman" w:hAnsi="Times New Roman"/>
          <w:color w:val="000000"/>
          <w:sz w:val="24"/>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Proceedings</w:t>
      </w:r>
      <w:r>
        <w:rPr>
          <w:rFonts w:ascii="Times New Roman" w:hAnsi="Times New Roman"/>
          <w:color w:val="000000"/>
          <w:sz w:val="24"/>
        </w:rPr>
        <w:t>. As soon as possible and in any event within [***]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Notice of Material Events</w:t>
      </w:r>
      <w:r>
        <w:rPr>
          <w:rFonts w:ascii="Times New Roman" w:hAnsi="Times New Roman"/>
          <w:color w:val="000000"/>
          <w:sz w:val="24"/>
        </w:rPr>
        <w:t>. Promptly upon any Responsible Officer of the Borrower becoming aware thereof, notice of any other event or circumstances that, in the reasonable judgment of the Borrower, is likely to have a Material Adverse Effect.</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Auditors’ Management Letters</w:t>
      </w:r>
      <w:r>
        <w:rPr>
          <w:rFonts w:ascii="Times New Roman" w:hAnsi="Times New Roman"/>
          <w:color w:val="000000"/>
          <w:sz w:val="24"/>
        </w:rPr>
        <w:t>. Promptly after any auditors’ management letters are received by the Borrower or by its accountants, which refer in whole or in part to any inadequacy, defect, problem, qualification or other lack of fully satisfactory accounting controls utilized by the Borrower.</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The Borrower shall promptly notify the Administrative Agent in the event the Borrower becomes a Benefit Plan Investor.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xml:space="preserve">. The Borrower will promptly notify the Administrative Agent of any change in the Borrower’s accounting policies that are not otherwise required by GAAP.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Certificate of Title Opinion</w:t>
      </w:r>
      <w:r>
        <w:rPr>
          <w:rFonts w:ascii="Times New Roman" w:hAnsi="Times New Roman"/>
          <w:color w:val="000000"/>
          <w:sz w:val="24"/>
        </w:rPr>
        <w:t xml:space="preserve">. If in connection with a Securitization involving all or a portion of the Collateral the Borrower is required to provide an Opinion of Counsel in each State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Notice Regarding Collateral</w:t>
      </w:r>
      <w:r>
        <w:rPr>
          <w:rFonts w:ascii="Times New Roman" w:hAnsi="Times New Roman"/>
          <w:color w:val="000000"/>
          <w:sz w:val="24"/>
        </w:rPr>
        <w:t>. The Borrower shall advise the Administrative Agent in writing promptly, in reasonable detail of (i) any Lien (other than Permitted Liens) asserted or claim made against a material portion of the Collateral, (ii) the occurrence of a material breach by the Borrower of any of its representations, warranties and covenants contained herein and (iii) the occurrence of any other event which would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Borrower will file or cause to be filed such financing and continuation statements (and amendments thereto) and any other documents that may be required by any law or regulation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Maximum Leverage Ratio</w:t>
      </w:r>
      <w:r>
        <w:rPr>
          <w:rFonts w:ascii="Times New Roman" w:hAnsi="Times New Roman"/>
          <w:color w:val="000000"/>
          <w:sz w:val="24"/>
        </w:rPr>
        <w:t>. The Borrower shall, at all times, ensure that the Parent’s Leverage Ratio does not exceed [***] to [***], tested on a [***]basis and as of any Determination Date. IMPORTANT 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Minimum Tangible Net Worth</w:t>
      </w:r>
      <w:r>
        <w:rPr>
          <w:rFonts w:ascii="Times New Roman" w:hAnsi="Times New Roman"/>
          <w:color w:val="000000"/>
          <w:sz w:val="24"/>
        </w:rPr>
        <w:t>. The Borrower shall, at all times, ensure that the Tangible Net Worth of the Parent is not less than the sum of (i) $[***] and (ii) [***] ([***]%) of the cumulative positive net income of the Parent, as determined in accordance with GAAP, for the period commencing on the Restatement Closing Date through the end of the most recently completed calendar quarter. Compliance with this covenant shall be tested on a [***] basis and as of any Determination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Minimum Liquidity.</w:t>
      </w:r>
      <w:r>
        <w:rPr>
          <w:color w:val="000000"/>
        </w:rPr>
        <w:t xml:space="preserve"> </w:t>
      </w:r>
      <w:r>
        <w:rPr>
          <w:rFonts w:ascii="Times New Roman" w:hAnsi="Times New Roman"/>
          <w:color w:val="000000"/>
          <w:sz w:val="24"/>
        </w:rPr>
        <w:t>The Borrower shall, at all times, ensure that the Parent maintains not less than $[***] in unrestricted cash and Cash Equivalents, tested on a [***] basis and as of any Determination Date.</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u w:val="single"/>
        </w:rPr>
        <w:t>Minimum Available Liquidity.</w:t>
      </w:r>
      <w:r>
        <w:rPr>
          <w:color w:val="000000"/>
        </w:rPr>
        <w:t xml:space="preserve"> </w:t>
      </w:r>
      <w:r>
        <w:rPr>
          <w:rFonts w:ascii="Times New Roman" w:hAnsi="Times New Roman"/>
          <w:color w:val="000000"/>
          <w:sz w:val="24"/>
        </w:rPr>
        <w:t>The Borrower shall, at all times, ensure that the Parent maintains Available Liquidity equal to or greater than $[***], tested on a [***] basis and as of any Determination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6.02.</w:t>
      </w:r>
    </w:p>
    <w:p>
      <w:pPr>
        <w:pStyle w:val="TextBody"/>
        <w:bidi w:val="0"/>
        <w:spacing w:before="0" w:after="240"/>
        <w:jc w:val="both"/>
        <w:rPr/>
      </w:pPr>
      <w:r>
        <w:rPr>
          <w:rFonts w:ascii="Times New Roman" w:hAnsi="Times New Roman"/>
          <w:color w:val="000000"/>
          <w:sz w:val="24"/>
          <w:u w:val="single"/>
        </w:rPr>
        <w:t xml:space="preserve">Negative Covenants of the Borrower </w:t>
      </w: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Other Business</w:t>
      </w:r>
      <w:r>
        <w:rPr>
          <w:rFonts w:ascii="Times New Roman" w:hAnsi="Times New Roman"/>
          <w:color w:val="000000"/>
          <w:sz w:val="24"/>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Receivables Not to be Evidenced by Instruments</w:t>
      </w:r>
      <w:r>
        <w:rPr>
          <w:rFonts w:ascii="Times New Roman" w:hAnsi="Times New Roman"/>
          <w:color w:val="000000"/>
          <w:sz w:val="24"/>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Mergers, Acquisitions, Sales, Etc</w:t>
      </w:r>
      <w:r>
        <w:rPr>
          <w:rFonts w:ascii="Times New Roman" w:hAnsi="Times New Roman"/>
          <w:color w:val="000000"/>
          <w:sz w:val="24"/>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Distributions</w:t>
      </w:r>
      <w:r>
        <w:rPr>
          <w:rFonts w:ascii="Times New Roman" w:hAnsi="Times New Roman"/>
          <w:color w:val="000000"/>
          <w:sz w:val="24"/>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Servicer Termination Event, Unmatured Servicer Termination Event, Termination Event or Unmatured Termination Event has occurred and is continuing or would result therefrom, the Borrower may pay cash distributions on the certificates issued pursuant to the Trust Agreement with funds distributed to the Borrower pursuant to Section 2.08(ix), subject to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Change of Name or Location of Receivable Files</w:t>
      </w:r>
      <w:r>
        <w:rPr>
          <w:rFonts w:ascii="Times New Roman" w:hAnsi="Times New Roman"/>
          <w:color w:val="000000"/>
          <w:sz w:val="24"/>
        </w:rPr>
        <w:t xml:space="preserve">. The Borrower shall not (i) change its name (within the meaning of Sections 9-503 and 9-507(c) of any applicable enactment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Section 14.02 or (ii) move, or consent to the Custodian moving, the Receivable Files from the locations set forth on Schedule D, unless the Borrower has given at least [***] days’ written notice to the Administrative Agent and has taken all actions required under the UCC of each relevant jurisdiction in order to continue the first priority perfected security interest of the Administrative Agent in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True Sale</w:t>
      </w:r>
      <w:r>
        <w:rPr>
          <w:rFonts w:ascii="Times New Roman" w:hAnsi="Times New Roman"/>
          <w:color w:val="000000"/>
          <w:sz w:val="24"/>
        </w:rPr>
        <w:t>. Except for purposes of GAAP, the Borrower will not account for or treat the transactions contemplated by the Purchase Agreement in any manner other than as the sale, or absolute assignment, of the Receivables and other Collateral by UACC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ERISA Matters</w:t>
      </w:r>
      <w:r>
        <w:rPr>
          <w:rFonts w:ascii="Times New Roman" w:hAnsi="Times New Roman"/>
          <w:color w:val="000000"/>
          <w:sz w:val="24"/>
        </w:rPr>
        <w:t>. Without the consent of the Administrative Agent, the Borrower will not, and will not permit any ERISA Affiliate to sponsor, adopt, contribute or become required to contribute to any Pension Plan or any Multiemployer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Formation Documents; Purchase Agreement</w:t>
      </w:r>
      <w:r>
        <w:rPr>
          <w:rFonts w:ascii="Times New Roman" w:hAnsi="Times New Roman"/>
          <w:color w:val="000000"/>
          <w:sz w:val="24"/>
        </w:rPr>
        <w:t>. Without the prior consent of the Administrative Agent, the Borrower will not amend, modify, waive or terminate any provision of its Formation Documents or the Purchase Agreement (including any Transfer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Changes in Payment Instructions</w:t>
      </w:r>
      <w:r>
        <w:rPr>
          <w:rFonts w:ascii="Times New Roman" w:hAnsi="Times New Roman"/>
          <w:color w:val="000000"/>
          <w:sz w:val="24"/>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Extension or Amendment</w:t>
      </w:r>
      <w:r>
        <w:rPr>
          <w:rFonts w:ascii="Times New Roman" w:hAnsi="Times New Roman"/>
          <w:color w:val="000000"/>
          <w:sz w:val="24"/>
        </w:rPr>
        <w:t>. The Borrower will not, except as otherwise permitted in Section 7.03(c)(i), extend, amend or otherwise modify, or permit the Servicer to extend, amend or otherwise modify, the terms of any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No Assignments</w:t>
      </w:r>
      <w:r>
        <w:rPr>
          <w:rFonts w:ascii="Times New Roman" w:hAnsi="Times New Roman"/>
          <w:color w:val="000000"/>
          <w:sz w:val="24"/>
        </w:rPr>
        <w:t>. The Borrower will not assign or delegate, grant any interest in or permit any Lien to exist upon any of its rights, obligations or duties under this Agreement without the prior written consent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Special Purpose Entity</w:t>
      </w:r>
      <w:r>
        <w:rPr>
          <w:rFonts w:ascii="Times New Roman" w:hAnsi="Times New Roman"/>
          <w:color w:val="000000"/>
          <w:sz w:val="24"/>
        </w:rPr>
        <w:t>. The Borrower shall not (nor has the Borrower taken any such action in the past):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or own any material assets other than (A) the Receivables and related assets from UACC under the Purchase Agreement and (B) incidental property as may be necessary for the operation of the Borrower;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 any Subsidiary or make any investment in any Person without the consent of the Administrative Agent;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commingle its assets with the assets of any of its Affiliates, or of any other Person, except as contemplated hereunder or under the Intercreditor Agreement;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become not Solvent or fail to pay its debts and liabilities from its assets as the same shall become due;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its records, books of account and bank accounts separate and apart from those of any other Person, except as contemplated hereunder or under the Intercreditor Agreement;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seek its dissolution or winding up in whole or in part;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correct any known misunderstandings regarding the separate identity of Borrower or UACC, as applicable, or any principal or Affiliate thereof or any other Person;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guarantee, become obligated for, or hold itself out to be responsible for the debt of another Person, except as expressly provided in the Basic Documents;</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any loan or advances to any third party, including any principal or Affiliate, or hold evidence of Indebtedness issued by any other Person (other than Permitted Investments);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adequate capital for the normal obligations reasonably foreseeable in a business of its size and character and in light of its contemplated business operations;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file or consent to the filing of any petition, either voluntary or involuntary, to take advantage of any applicable Insolvency Laws, or make an assignment for the benefit of creditors;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 any common logo with or hold itself out as or be considered as a department or division of (A) any of its principals or Affiliates, (B) any Affiliate of a principal or (C) any other Person;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pay its own liabilities and expenses only out of its own funds;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the obligations or securities of its Affiliates or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allocate fairly and reasonably any overhead expenses that are shared with an Affiliate, including paying for office space and services performed by any employee of an Affiliate;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use separate invoices and checks bearing its own name;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 its assets for the benefit of any other Person, other than with respect to payment of the Indebtedness to the Lenders hereunder;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writing its inability to pay its debts generally as they become due or (G) take any action in furtherance of any of the foregoing;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amend, restate, supplement or otherwise modify its Formation Documents in any respect that would impair its ability to comply with the Basic Documents;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 take or refrain from taking, as applicable, each of [***], dated the Closing Date;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elect or otherwise permit the Borrower to be treated as an entity taxable as a corporation for U.S. federal income tax purposes;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 to maintain separate financial statements, showing its assets and liabilities separate and apart from those of any other Person, or have its assets listed on the financial statement of any other Person; provided, however, that the Borrower’s assets may be included in a consolidated financial statement of its Affiliates if (a) appropriate notation shall be made on such consolidated financial statements to indicate the separateness of the Borrower from such Affiliates and to indicate that the Borrower’s assets and credit are not available to satisfy the debts and obligations of such Affiliates or any other Person and (b) such assets shall also be listed on the Borrower’s own separate balance sheet.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Additional Lenders</w:t>
      </w:r>
      <w:r>
        <w:rPr>
          <w:rFonts w:ascii="Times New Roman" w:hAnsi="Times New Roman"/>
          <w:color w:val="000000"/>
          <w:sz w:val="24"/>
        </w:rPr>
        <w:t>. The Borrower will not add any Lender to this Agreement without the prior written consent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Liens</w:t>
      </w:r>
      <w:r>
        <w:rPr>
          <w:rFonts w:ascii="Times New Roman" w:hAnsi="Times New Roman"/>
          <w:color w:val="000000"/>
          <w:sz w:val="24"/>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6.03.</w:t>
      </w:r>
    </w:p>
    <w:p>
      <w:pPr>
        <w:pStyle w:val="TextBody"/>
        <w:bidi w:val="0"/>
        <w:spacing w:before="0" w:after="240"/>
        <w:jc w:val="both"/>
        <w:rPr/>
      </w:pPr>
      <w:r>
        <w:rPr>
          <w:rFonts w:ascii="Times New Roman" w:hAnsi="Times New Roman"/>
          <w:color w:val="000000"/>
          <w:sz w:val="24"/>
          <w:u w:val="single"/>
        </w:rPr>
        <w:t xml:space="preserve">Covenant of the Borrower Relating to Hedge Transactions </w:t>
      </w:r>
      <w:r>
        <w:rPr>
          <w:rFonts w:ascii="Times New Roman" w:hAnsi="Times New Roman"/>
          <w:color w:val="000000"/>
          <w:sz w:val="24"/>
        </w:rPr>
        <w:t>Upon the commencement and during the continuation of a Required Hedging Period, the Borrower shall enter into one or more Hedge Transactions in form and substance satisfactory (including the notional amount, term and amortization rate (if any) of such Hedge Transaction) to the Administrative Agent. Each such Hedge Transaction shall be entered into with a Hedge Counterparty and governed by a Hedging Agreement; provided, that as of any date of determination during the Required Hedging Period, the aggregate notional amount relating to such Hedge Transactions shall not be less than the Loans Outstanding on such date. The Borrower shall deliver to the Administrative Agent a copy of all documents related to any Hedging Agreement, including confirmations, schedules and an aggregate notion amortization schedule. All reasonably documented out-of-pocket costs and expenses (including reasonable legal fees and disbursements) incurred by the Administrative Agent and the Lenders incurred with each Hedge Transaction shall be paid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additional security hereunder, the Borrower has assigned to the Administrative Agent all right, title and interest of Borrower in any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On or prior to the effective date of a Hedge Transaction, the Borrower shall establish and thereafter maintain a segregated trust account in the name of the Borrower with respect to each Hedge Counterparty (a “</w:t>
      </w:r>
      <w:r>
        <w:rPr>
          <w:rFonts w:ascii="Times New Roman" w:hAnsi="Times New Roman"/>
          <w:color w:val="000000"/>
          <w:sz w:val="24"/>
          <w:u w:val="single"/>
        </w:rPr>
        <w:t>Hedge Collateral Account</w:t>
      </w:r>
      <w:r>
        <w:rPr>
          <w:color w:val="000000"/>
        </w:rPr>
        <w:t>”</w:t>
      </w:r>
      <w:r>
        <w:rPr>
          <w:rFonts w:ascii="Times New Roman" w:hAnsi="Times New Roman"/>
          <w:color w:val="000000"/>
          <w:sz w:val="24"/>
        </w:rPr>
        <w:t>) with a Qualified Institution in trust and for the benefit of the Lenders and the related Hedge Counterparty. In the event that pursuant to the terms of the applicable Hedging Agreement, the related Hedge Counterparty is required to deposit cash or securities as collateral to secure its obligations (“</w:t>
      </w:r>
      <w:r>
        <w:rPr>
          <w:rFonts w:ascii="Times New Roman" w:hAnsi="Times New Roman"/>
          <w:color w:val="000000"/>
          <w:sz w:val="24"/>
          <w:u w:val="single"/>
        </w:rPr>
        <w:t>Swap Collateral</w:t>
      </w:r>
      <w:r>
        <w:rPr>
          <w:color w:val="000000"/>
        </w:rPr>
        <w:t>”</w:t>
      </w:r>
      <w:r>
        <w:rPr>
          <w:rFonts w:ascii="Times New Roman" w:hAnsi="Times New Roman"/>
          <w:color w:val="000000"/>
          <w:sz w:val="24"/>
        </w:rPr>
        <w:t>), the Borrower shall deposit all Swap Collateral received from the Hedge Counterparty into the Hedge Collateral Account. All sums on deposit and securities held in any Hedge Collateral Account shall be used only for the purposes set forth in the related credit support annex (“</w:t>
      </w:r>
      <w:r>
        <w:rPr>
          <w:rFonts w:ascii="Times New Roman" w:hAnsi="Times New Roman"/>
          <w:color w:val="000000"/>
          <w:sz w:val="24"/>
          <w:u w:val="single"/>
        </w:rPr>
        <w:t>Credit Support Annex</w:t>
      </w:r>
      <w:r>
        <w:rPr>
          <w:color w:val="000000"/>
        </w:rPr>
        <w:t>”</w:t>
      </w:r>
      <w:r>
        <w:rPr>
          <w:rFonts w:ascii="Times New Roman" w:hAnsi="Times New Roman"/>
          <w:color w:val="000000"/>
          <w:sz w:val="24"/>
        </w:rPr>
        <w:t xml:space="preserve">) to the Hedging Agreement. The only permitted withdrawal from or application of funds on deposit in, or otherwise to the credit of, a Hedge Collateral Account shall be (i) for application to the obligations of the applicable Hedge Counterparty under the related Hedging Agreement in accordance with the terms of the Credit Support Annex and (ii) to return collateral to the Hedge Counterparty when and as required by the Credit Support Annex. Amounts on deposit in each Hedge Collateral Account shall be invested in accordance with the terms of the related Credit Support Annex, and all investment earnings actually received on amounts on deposit in a Hedge Collateral Account or distributions on securities held as Swap Collateral shall be distributed to the related Hedge Counterparty in accordance with the terms of the related Credit Support Annex. Any amounts applied by the Borrower to the obligations of the Hedge Counterparty under the Hedging Agreement in accordance with the terms of the Credit Support Annex shall be deposited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 the Collection Account and applied in accordance with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of this Agreement. The Borrower agrees to give the Hedge Counterparty prompt notice if it obtains knowledge that the Hedge Collateral Account or any funds on deposit therein or otherwise to the credit of the Hedge Collateral Account, shall or have become subject to any writ, order, judgment, warrant of attachment, execution or similar process.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[***]days after (i) the occurrence of any event defined as an “Termination Event” for which the Hedge Counterparty is the “Defaulting Party” or “Termination Event” for which the Hedge Counterparty is an “Affected Party” in a Hedging Agreement or (ii) a Hedge Counterparty ceasing to satisfy the minimum ratings requirements set forth in the definition of “Eligible Hedge Counterparty,” the Borrower shall enforce its remedial rights against such Hedge Counterparty as are specified in the related Hedge Agreement; provided that this subclause (d) shall not apply if the Hedge Counterparty is the Administrative Agent or an Affiliate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6.04.</w:t>
      </w:r>
    </w:p>
    <w:p>
      <w:pPr>
        <w:pStyle w:val="TextBody"/>
        <w:bidi w:val="0"/>
        <w:spacing w:before="0" w:after="240"/>
        <w:jc w:val="both"/>
        <w:rPr/>
      </w:pPr>
      <w:r>
        <w:rPr>
          <w:rFonts w:ascii="Times New Roman" w:hAnsi="Times New Roman"/>
          <w:color w:val="000000"/>
          <w:sz w:val="24"/>
          <w:u w:val="single"/>
        </w:rPr>
        <w:t xml:space="preserve">Affirmative Covenants of the Servicer </w:t>
      </w: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Servicer will comply in all material respects with all Applicable Laws, including those with respect to the Receivables, the related Contracts, Financed Vehicles and Receivable Files or any part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Preservation of Corporate Existence</w:t>
      </w:r>
      <w:r>
        <w:rPr>
          <w:rFonts w:ascii="Times New Roman" w:hAnsi="Times New Roman"/>
          <w:color w:val="000000"/>
          <w:sz w:val="24"/>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Obligations and Compliance with Receivables</w:t>
      </w:r>
      <w:r>
        <w:rPr>
          <w:rFonts w:ascii="Times New Roman" w:hAnsi="Times New Roman"/>
          <w:color w:val="000000"/>
          <w:sz w:val="24"/>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Performance and Compliance with Servicer Basic Documents</w:t>
      </w:r>
      <w:r>
        <w:rPr>
          <w:rFonts w:ascii="Times New Roman" w:hAnsi="Times New Roman"/>
          <w:color w:val="000000"/>
          <w:sz w:val="24"/>
        </w:rPr>
        <w:t>. The Servicer will timely and fully perform and comply in all material respects with all provisions, covenants and other promises required to be observed by it under the Servicer Basic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Keeping of Records and Books of Account</w:t>
      </w:r>
      <w:r>
        <w:rPr>
          <w:rFonts w:ascii="Times New Roman" w:hAnsi="Times New Roman"/>
          <w:color w:val="000000"/>
          <w:sz w:val="24"/>
        </w:rPr>
        <w: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Servicer will file all material Tax returns required to be filed by it and pay any and all material Taxes, including those required to meet the obligations of the Basic Documents.</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Preservation of Security Interest</w:t>
      </w:r>
      <w:r>
        <w:rPr>
          <w:rFonts w:ascii="Times New Roman" w:hAnsi="Times New Roman"/>
          <w:color w:val="000000"/>
          <w:sz w:val="24"/>
        </w:rPr>
        <w: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Credit and Collection Policy</w:t>
      </w:r>
      <w:r>
        <w:rPr>
          <w:rFonts w:ascii="Times New Roman" w:hAnsi="Times New Roman"/>
          <w:color w:val="000000"/>
          <w:sz w:val="24"/>
        </w:rPr>
        <w:t>. The initial Servicer will (i) comply in all material respects with the Credit and Collection Policy in regard to each Receivable,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Termination Events</w:t>
      </w:r>
      <w:r>
        <w:rPr>
          <w:rFonts w:ascii="Times New Roman" w:hAnsi="Times New Roman"/>
          <w:color w:val="000000"/>
          <w:sz w:val="24"/>
        </w:rPr>
        <w:t>. The Servicer will furnish to the Administrative Agent, the Account Bank and the Backup Servicer, as soon as possible and in any event within [***] Business Days after the earlier of (i) knowledge by the Servicer and (ii) receipt by the Servicer from the Borrower of written notice thereof (which notice the Borrower shall be required to give promptly upon knowledge thereof) of the occurrence of each Termination Event and each Unmatured Termination Event, a written statement of its chief financial officer or chief accounting officer setting forth the details of such event and the action that the Servicer purposes to take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Other</w:t>
      </w:r>
      <w:r>
        <w:rPr>
          <w:rFonts w:ascii="Times New Roman" w:hAnsi="Times New Roman"/>
          <w:color w:val="000000"/>
          <w:sz w:val="24"/>
        </w:rPr>
        <w:t>. The Servicer will furnish to the Administrative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Losses, Etc</w:t>
      </w:r>
      <w:r>
        <w:rPr>
          <w:rFonts w:ascii="Times New Roman" w:hAnsi="Times New Roman"/>
          <w:color w:val="000000"/>
          <w:sz w:val="24"/>
        </w:rPr>
        <w:t>. In any suit, proceeding or action brought by the Administrative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Notice Regarding Collateral</w:t>
      </w:r>
      <w:r>
        <w:rPr>
          <w:rFonts w:ascii="Times New Roman" w:hAnsi="Times New Roman"/>
          <w:color w:val="000000"/>
          <w:sz w:val="24"/>
        </w:rPr>
        <w:t xml:space="preserve">. The Servicer shall advise the Custodian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(A) any Lien asserted or claim made against any portion of the Collateral, (B) the occurrence of any material breach by the Servicer of any of its representations, warranties and covenants contained herein, (C) the occurrence of any event of default or material breach by any party of its obligations under, or the termination of, the E-Vault Access Agreement, the Electronic Collateral Control Agreement or the Title Administrator Agreement, (D) any changes to the E-Vault System, the Originator Vault Partition or the Warehouse Vault Partition made by the E-Vault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Program Agent and the Borrower copies of all notices (other than routine administrative notices) received under the E-Vault Access Agreement, the Electronic Collateral Control Agreement or the Title Administrator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Realization on Receivables</w:t>
      </w:r>
      <w:r>
        <w:rPr>
          <w:rFonts w:ascii="Times New Roman" w:hAnsi="Times New Roman"/>
          <w:color w:val="000000"/>
          <w:sz w:val="24"/>
        </w:rPr>
        <w:t>. In the event that the Servicer realizes upon any Receivable, the methods utilized by the Servicer to realize upon such Receivable or otherwise enforce any provisions of such Receivable will not subject the Servicer, the Borrower, any Secured Party, the Administrative Agent or the Custodian to liability under any federal, State or local law, and any such realization or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Certificates of Title</w:t>
      </w:r>
      <w:r>
        <w:rPr>
          <w:rFonts w:ascii="Times New Roman" w:hAnsi="Times New Roman"/>
          <w:color w:val="000000"/>
          <w:sz w:val="24"/>
        </w:rPr>
        <w:t>. Within [***] days following the end of each calendar quarter, the Servicer shall deliver to the Custodian (if not UACC) and the Administrative Agent a list of all Receivables for which it does not have in its possession or control the related Certificate of Title.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Interpayments</w:t>
      </w:r>
      <w:r>
        <w:rPr>
          <w:rFonts w:ascii="Times New Roman" w:hAnsi="Times New Roman"/>
          <w:color w:val="000000"/>
          <w:sz w:val="24"/>
        </w:rPr>
        <w:t>. To the extent that the Borrower makes an Interpayment pursuant to Section 2.06(e), on the related Payment Date, UACC shall deposit an amount equal to the Monthly Accrued Interest Payment Amount into the Collection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Auditors’ Management Letters</w:t>
      </w:r>
      <w:r>
        <w:rPr>
          <w:rFonts w:ascii="Times New Roman" w:hAnsi="Times New Roman"/>
          <w:color w:val="000000"/>
          <w:sz w:val="24"/>
        </w:rPr>
        <w:t>. The Servicer will deliver or will cause to be delivered to the Administrative Agent, promptly after receipt by the Servicer or its accountants, a copy of any auditors’ management letters which refer in whole or in part to any inadequacy, defect, problem, qualification or other lack of fully satisfactory accounting controls utilized by the Parent that resulted in a qualified audit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Accounting Policy</w:t>
      </w:r>
      <w:r>
        <w:rPr>
          <w:rFonts w:ascii="Times New Roman" w:hAnsi="Times New Roman"/>
          <w:color w:val="000000"/>
          <w:sz w:val="24"/>
        </w:rPr>
        <w:t>. The Servicer will promptly notify the Administrative Agent of any material change in the Parent’s accounting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Servicing Systems</w:t>
      </w:r>
      <w:r>
        <w:rPr>
          <w:rFonts w:ascii="Times New Roman" w:hAnsi="Times New Roman"/>
          <w:color w:val="000000"/>
          <w:sz w:val="24"/>
        </w:rPr>
        <w:t>. The Servicer will promptly notify the Backup Servicer in writing of any material changes which the Servicer makes to the servicing systems and provide to the Backup Servicer sufficient details with respect thereto as the Backup Servicer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6.05.</w:t>
      </w:r>
    </w:p>
    <w:p>
      <w:pPr>
        <w:pStyle w:val="TextBody"/>
        <w:bidi w:val="0"/>
        <w:spacing w:before="0" w:after="240"/>
        <w:jc w:val="both"/>
        <w:rPr/>
      </w:pPr>
      <w:r>
        <w:rPr>
          <w:rFonts w:ascii="Times New Roman" w:hAnsi="Times New Roman"/>
          <w:color w:val="000000"/>
          <w:sz w:val="24"/>
          <w:u w:val="single"/>
        </w:rPr>
        <w:t xml:space="preserve">Negative Covenants of the Servicer </w:t>
      </w: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Post Office Boxes; Local Bank Account</w:t>
      </w:r>
      <w:r>
        <w:rPr>
          <w:rFonts w:ascii="Times New Roman" w:hAnsi="Times New Roman"/>
          <w:color w:val="000000"/>
          <w:sz w:val="24"/>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Mergers, Acquisition, Sales, etc</w:t>
      </w:r>
      <w:r>
        <w:rPr>
          <w:rFonts w:ascii="Times New Roman" w:hAnsi="Times New Roman"/>
          <w:color w:val="000000"/>
          <w:sz w:val="24"/>
        </w:rPr>
        <w:t>. The Servicer will not consolidate with or merge into any other Person or convey or transfer its properties and assets substantially as an entirety to any Person, other than contemplated in Section 7.16.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Change of Name or Location of Servicer Files or Receivable Files</w:t>
      </w:r>
      <w:r>
        <w:rPr>
          <w:rFonts w:ascii="Times New Roman" w:hAnsi="Times New Roman"/>
          <w:color w:val="000000"/>
          <w:sz w:val="24"/>
        </w:rPr>
        <w:t>.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Change in Payment Instructions to Obligors</w:t>
      </w:r>
      <w:r>
        <w:rPr>
          <w:rFonts w:ascii="Times New Roman" w:hAnsi="Times New Roman"/>
          <w:color w:val="000000"/>
          <w:sz w:val="24"/>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Extension or Amendment of Contracts</w:t>
      </w:r>
      <w:r>
        <w:rPr>
          <w:rFonts w:ascii="Times New Roman" w:hAnsi="Times New Roman"/>
          <w:color w:val="000000"/>
          <w:sz w:val="24"/>
        </w:rPr>
        <w:t>. The Servicer will not, except as otherwise permitted in Section 7.03(c)(i), extend, amend or otherwise modify the terms of any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 Instruments</w:t>
      </w:r>
      <w:r>
        <w:rPr>
          <w:rFonts w:ascii="Times New Roman" w:hAnsi="Times New Roman"/>
          <w:color w:val="000000"/>
          <w:sz w:val="24"/>
        </w:rPr>
        <w:t>. The Servicer shall take no action to cause any Receivable to be evidenced by any Instrument or “electronic chattel paper” (as defined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 Liens</w:t>
      </w:r>
      <w:r>
        <w:rPr>
          <w:rFonts w:ascii="Times New Roman" w:hAnsi="Times New Roman"/>
          <w:color w:val="000000"/>
          <w:sz w:val="24"/>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Release; Additional Covenants</w:t>
      </w:r>
      <w:r>
        <w:rPr>
          <w:rFonts w:ascii="Times New Roman" w:hAnsi="Times New Roman"/>
          <w:color w:val="000000"/>
          <w:sz w:val="24"/>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the Backup Servicer and the Custodian (if other than UACC) of the existence of any Lien on any portion of the Collateral (other than any Permitted Lien) if the Servicer has actual knowledge thereof, (vi) defend the right, title and interest of the Borrower, the Secured Parties, the Administrative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 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within [***]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Anti-Corruption Laws and Sanctions</w:t>
      </w:r>
      <w:r>
        <w:rPr>
          <w:rFonts w:ascii="Times New Roman" w:hAnsi="Times New Roman"/>
          <w:color w:val="000000"/>
          <w:sz w:val="24"/>
        </w:rPr>
        <w:t>. The Servicer shall not, nor shall the Servicer’s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ERISA Matters</w:t>
      </w:r>
      <w:r>
        <w:rPr>
          <w:rFonts w:ascii="Times New Roman" w:hAnsi="Times New Roman"/>
          <w:color w:val="000000"/>
          <w:sz w:val="24"/>
        </w:rPr>
        <w:t>. None of the Servicer or its ERISA Affiliates shall take any action to cause or that might reasonably be expected to result, directly or indirectly, in any Lien being imposed on the property of the Servicer or its ERISA Affiliates. None of the Servicer or its ERISA Affiliates shall sponsor, contribute to or have any obligation to contribute to, or have any liability with respect to any Pension Plan or Multiemployer Plan.</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7</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ADMINISTRATION AND SERVICING OF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7.01.</w:t>
      </w:r>
    </w:p>
    <w:p>
      <w:pPr>
        <w:pStyle w:val="TextBody"/>
        <w:bidi w:val="0"/>
        <w:spacing w:before="0" w:after="240"/>
        <w:jc w:val="both"/>
        <w:rPr/>
      </w:pPr>
      <w:r>
        <w:rPr>
          <w:rFonts w:ascii="Times New Roman" w:hAnsi="Times New Roman"/>
          <w:color w:val="000000"/>
          <w:sz w:val="24"/>
          <w:u w:val="single"/>
        </w:rPr>
        <w:t xml:space="preserve">Designation of Servicing </w:t>
      </w:r>
      <w:r>
        <w:rPr>
          <w:rFonts w:ascii="Times New Roman" w:hAnsi="Times New Roman"/>
          <w:color w:val="000000"/>
          <w:sz w:val="24"/>
        </w:rPr>
        <w:t>The Administrative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7.02.</w:t>
      </w:r>
    </w:p>
    <w:p>
      <w:pPr>
        <w:pStyle w:val="TextBody"/>
        <w:bidi w:val="0"/>
        <w:spacing w:before="0" w:after="240"/>
        <w:jc w:val="both"/>
        <w:rPr/>
      </w:pPr>
      <w:r>
        <w:rPr>
          <w:rFonts w:ascii="Times New Roman" w:hAnsi="Times New Roman"/>
          <w:color w:val="000000"/>
          <w:sz w:val="24"/>
          <w:u w:val="single"/>
        </w:rPr>
        <w:t xml:space="preserve">Servicing Compensation </w:t>
      </w:r>
      <w:r>
        <w:rPr>
          <w:rFonts w:ascii="Times New Roman" w:hAnsi="Times New Roman"/>
          <w:color w:val="000000"/>
          <w:sz w:val="24"/>
        </w:rPr>
        <w:t>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7.03.</w:t>
      </w:r>
    </w:p>
    <w:p>
      <w:pPr>
        <w:pStyle w:val="TextBody"/>
        <w:bidi w:val="0"/>
        <w:spacing w:before="0" w:after="240"/>
        <w:jc w:val="both"/>
        <w:rPr/>
      </w:pPr>
      <w:r>
        <w:rPr>
          <w:rFonts w:ascii="Times New Roman" w:hAnsi="Times New Roman"/>
          <w:color w:val="000000"/>
          <w:sz w:val="24"/>
          <w:u w:val="single"/>
        </w:rPr>
        <w:t>Duties of the Servicer Standard of Care</w:t>
      </w:r>
      <w:r>
        <w:rPr>
          <w:rFonts w:ascii="Times New Roman" w:hAnsi="Times New Roman"/>
          <w:color w:val="000000"/>
          <w:sz w:val="24"/>
        </w:rPr>
        <w:t xml:space="preserve">. The Servicer agrees that its servicing and collection of the Receivables shall be carried out in accordance with the Credit and Collection Policy, Applicable Law and customary and usual procedures of institutions which service motor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vehicle retail installment sales contracts and, to the extent more exacting, the degree of skill and attention that the Servicer exercises with respect to all comparable motor vehicle receivables that it services for itself or others.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Records Held in Trust</w:t>
      </w:r>
      <w:r>
        <w:rPr>
          <w:rFonts w:ascii="Times New Roman" w:hAnsi="Times New Roman"/>
          <w:color w:val="000000"/>
          <w:sz w:val="24"/>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Collection Practices</w:t>
      </w:r>
      <w:r>
        <w:rPr>
          <w:rFonts w:ascii="Times New Roman" w:hAnsi="Times New Roman"/>
          <w:color w:val="000000"/>
          <w:sz w:val="24"/>
        </w:rPr>
        <w: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provided, however, that the Servicer shall not be empowered to, and shall not, (x) make or attempt to make any change to the Authoritative Copy of any Electronic Contract which constitutes or evidences a Receivable, (y) change or attempt to change the legend or watermark on any Electronic Contract which constitutes or evidences a Receivable or the “Owner of Record” of the Warehouse Vault Partition or (z) except (i) 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in the Purchase Agreement. Receivables in respect of which the Servicer has breached the foregoing provisions shall be repurchased by the Servicer pursuant to Section 5.04(c).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w:t>
      </w:r>
      <w:r>
        <w:rPr>
          <w:color w:val="00000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deposit or cause to be deposited by electronic funds transfer all Collections to the Collection Account no later than [***] Business Days after deposit into the Local Bank Account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Collection; Recourse; Sales of Financed Vehicles</w:t>
      </w:r>
      <w:r>
        <w:rPr>
          <w:rFonts w:ascii="Times New Roman" w:hAnsi="Times New Roman"/>
          <w:color w:val="000000"/>
          <w:sz w:val="24"/>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Subservicers</w:t>
      </w:r>
      <w:r>
        <w:rPr>
          <w:rFonts w:ascii="Times New Roman" w:hAnsi="Times New Roman"/>
          <w:color w:val="000000"/>
          <w:sz w:val="24"/>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Servicer shall:</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behalf of the Borrower, administer and enforce all rights and responsibilities of the Borrower, as owner of the Receivables, provided for in the Insurance Policies relating to the Receivables;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accordance with customary servicing procedures and the Credit and Collection Policy, require that each Obligor shall have obtained physical damage insurance covering the Financed Vehicle as of the date of execution of the Contract;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utilize such notices, claim forms and claim procedures as are required by the respective insurance carriers.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inconsistency between this Agreement and the terms of any Insurance Policy, the Servicer shall comply with the latter.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Obligation to Restore</w:t>
      </w:r>
      <w:r>
        <w:rPr>
          <w:rFonts w:ascii="Times New Roman" w:hAnsi="Times New Roman"/>
          <w:color w:val="000000"/>
          <w:sz w:val="24"/>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Fidelity Bond</w:t>
      </w:r>
      <w:r>
        <w:rPr>
          <w:rFonts w:ascii="Times New Roman" w:hAnsi="Times New Roman"/>
          <w:color w:val="000000"/>
          <w:sz w:val="24"/>
        </w:rPr>
        <w:t xml:space="preserve">.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Security Interests</w:t>
      </w:r>
      <w:r>
        <w:rPr>
          <w:rFonts w:ascii="Times New Roman" w:hAnsi="Times New Roman"/>
          <w:color w:val="000000"/>
          <w:sz w:val="24"/>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Realization on Financed Vehicles</w:t>
      </w:r>
      <w:r>
        <w:rPr>
          <w:rFonts w:ascii="Times New Roman" w:hAnsi="Times New Roman"/>
          <w:color w:val="000000"/>
          <w:sz w:val="24"/>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the Backup Servicer, the Account Bank or the Custodian to liability under any federal, State or local law, and that such enforcement by the Servicer will be conducted in accordance with the provisions of this Agreement, the Credit and Collection Policy and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Recordkeeping</w:t>
      </w:r>
      <w:r>
        <w:rPr>
          <w:rFonts w:ascii="Times New Roman" w:hAnsi="Times New Roman"/>
          <w:color w:val="000000"/>
          <w:sz w:val="24"/>
        </w:rPr>
        <w:t>. The Servicer shall:</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maintain legible copies (in electronic or hard-copy form, in the discretion of the Servicer) or originals of all documents in its Servicer File with respect to each Receivable and the Financed Vehicle related thereto;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7.04.</w:t>
      </w:r>
    </w:p>
    <w:p>
      <w:pPr>
        <w:pStyle w:val="TextBody"/>
        <w:bidi w:val="0"/>
        <w:spacing w:before="0" w:after="240"/>
        <w:jc w:val="both"/>
        <w:rPr/>
      </w:pPr>
      <w:r>
        <w:rPr>
          <w:rFonts w:ascii="Times New Roman" w:hAnsi="Times New Roman"/>
          <w:color w:val="000000"/>
          <w:sz w:val="24"/>
          <w:u w:val="single"/>
        </w:rPr>
        <w:t>Collection of Payments; Payments to the Post Office Boxes</w:t>
      </w:r>
      <w:r>
        <w:rPr>
          <w:rFonts w:ascii="Times New Roman" w:hAnsi="Times New Roman"/>
          <w:color w:val="000000"/>
          <w:sz w:val="24"/>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 Business Days of receipt.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Establishment of the Collection Account, Reserve Account and the Local Bank Account</w:t>
      </w:r>
      <w:r>
        <w:rPr>
          <w:rFonts w:ascii="Times New Roman" w:hAnsi="Times New Roman"/>
          <w:color w:val="000000"/>
          <w:sz w:val="24"/>
        </w:rPr>
        <w:t>. The Servicer shall cause to be established, on or before the Closing Date, and maintain in the name of the Borrower, for the benefit of the Secured Parties, with a Qualified Institution which shall initially be the Account Bank, (i) the Collection Account and (ii) the Reserve Account, in each case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and the Reserve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 Promptly after the Payment Date on which the entire Reserve Account Amount is withdrawn from the Reserve Account, the Account Bank shall terminate the Reserve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 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7.05.</w:t>
      </w:r>
    </w:p>
    <w:p>
      <w:pPr>
        <w:pStyle w:val="TextBody"/>
        <w:bidi w:val="0"/>
        <w:spacing w:before="0" w:after="240"/>
        <w:jc w:val="both"/>
        <w:rPr/>
      </w:pPr>
      <w:r>
        <w:rPr>
          <w:rFonts w:ascii="Times New Roman" w:hAnsi="Times New Roman"/>
          <w:color w:val="000000"/>
          <w:sz w:val="24"/>
          <w:u w:val="single"/>
        </w:rPr>
        <w:t xml:space="preserve">Payment of Certain Expenses by Servicer </w:t>
      </w:r>
      <w:r>
        <w:rPr>
          <w:rFonts w:ascii="Times New Roman" w:hAnsi="Times New Roman"/>
          <w:color w:val="000000"/>
          <w:sz w:val="24"/>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bank or trust company in connection with the maintenance of the Collection Account and the Reserve Account. The Servicer shall be required to pay such expenses for its own account and shall not be entitled to any payment therefor other than the Servicing Fee.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7.06.</w:t>
      </w:r>
    </w:p>
    <w:p>
      <w:pPr>
        <w:pStyle w:val="TextBody"/>
        <w:bidi w:val="0"/>
        <w:spacing w:before="0" w:after="240"/>
        <w:jc w:val="both"/>
        <w:rPr/>
      </w:pPr>
      <w:r>
        <w:rPr>
          <w:rFonts w:ascii="Times New Roman" w:hAnsi="Times New Roman"/>
          <w:color w:val="000000"/>
          <w:sz w:val="24"/>
          <w:u w:val="single"/>
        </w:rPr>
        <w:t>Reports; Monthly Reports</w:t>
      </w:r>
      <w:r>
        <w:rPr>
          <w:rFonts w:ascii="Times New Roman" w:hAnsi="Times New Roman"/>
          <w:color w:val="000000"/>
          <w:sz w:val="24"/>
        </w:rPr>
        <w:t>. On each Reporting Date, the Servicer will provide to the Borrower, the Administrative Agent, the Backup Servicer, the Account Bank and each Hedge Counterparty a Monthly Report.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Quarterly Report</w:t>
      </w:r>
      <w:r>
        <w:rPr>
          <w:rFonts w:ascii="Times New Roman" w:hAnsi="Times New Roman"/>
          <w:color w:val="000000"/>
          <w:sz w:val="24"/>
        </w:rPr>
        <w:t xml:space="preserve">. The Servicer will provide a Quarterly Report to the Administrative Agent and each Hedge Counterparty, within [***] Business Days of receiving a request from the Administrative Agent for such report, which request may be made quarterly, but not more frequently unless required by regulators or to comply with Applicable Law (including Basel II and Basel III).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7.07.</w:t>
      </w:r>
    </w:p>
    <w:p>
      <w:pPr>
        <w:pStyle w:val="TextBody"/>
        <w:bidi w:val="0"/>
        <w:spacing w:before="0" w:after="240"/>
        <w:jc w:val="both"/>
        <w:rPr/>
      </w:pPr>
      <w:r>
        <w:rPr>
          <w:rFonts w:ascii="Times New Roman" w:hAnsi="Times New Roman"/>
          <w:color w:val="000000"/>
          <w:sz w:val="24"/>
          <w:u w:val="single"/>
        </w:rPr>
        <w:t xml:space="preserve">Due Diligence </w:t>
      </w:r>
      <w:r>
        <w:rPr>
          <w:rFonts w:ascii="Times New Roman" w:hAnsi="Times New Roman"/>
          <w:color w:val="000000"/>
          <w:sz w:val="24"/>
        </w:rPr>
        <w:t xml:space="preserve">Up to one (1) time each calendar year, beginning with 2022, at such times during normal business hours as are reasonably convenient to the Borrower or the Servicer, as the case may be, at the sole cost and expense of the Servicer (provided that such costs and expenses shall be limited to $[***] per annum unless a Termination Event, Unmatured Termination Event, Unmatured Servicer Termination Event or Servicer Termination Event shall have occurred and be continuing)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Unmatured Servicer Termination Event or Servicer Termination Event, shall be designated by the Borrower or the Servicer, as the case may be) and, upon written notice to the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or the Servicer, as the case may be, independent accountants; provided, further, that after the occurrence and during the continuation of a Termination Event, Unmatured Termination Event, Unmatured Servicer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7.08.</w:t>
      </w:r>
    </w:p>
    <w:p>
      <w:pPr>
        <w:pStyle w:val="TextBody"/>
        <w:bidi w:val="0"/>
        <w:spacing w:before="0" w:after="240"/>
        <w:jc w:val="both"/>
        <w:rPr/>
      </w:pPr>
      <w:r>
        <w:rPr>
          <w:rFonts w:ascii="Times New Roman" w:hAnsi="Times New Roman"/>
          <w:color w:val="000000"/>
          <w:sz w:val="24"/>
          <w:u w:val="single"/>
        </w:rPr>
        <w:t xml:space="preserve">Annual Statement as to Compliance </w:t>
      </w:r>
      <w:r>
        <w:rPr>
          <w:rFonts w:ascii="Times New Roman" w:hAnsi="Times New Roman"/>
          <w:color w:val="000000"/>
          <w:sz w:val="24"/>
        </w:rPr>
        <w:t>The Servicer shall deliver to the Administrative Agent and the Backup Servicer, on or before April 30</w:t>
      </w:r>
      <w:r>
        <w:rPr>
          <w:rFonts w:ascii="Times New Roman" w:hAnsi="Times New Roman"/>
          <w:color w:val="000000"/>
          <w:sz w:val="16"/>
        </w:rPr>
        <w:t>th</w:t>
      </w:r>
      <w:r>
        <w:rPr>
          <w:color w:val="000000"/>
        </w:rPr>
        <w:t xml:space="preserve"> </w:t>
      </w:r>
      <w:r>
        <w:rPr>
          <w:rFonts w:ascii="Times New Roman" w:hAnsi="Times New Roman"/>
          <w:color w:val="000000"/>
          <w:sz w:val="24"/>
        </w:rPr>
        <w:t>of each year, beginning in 2020, an Officer’s Certificate, dated as of the preceding December 31</w:t>
      </w:r>
      <w:r>
        <w:rPr>
          <w:rFonts w:ascii="Times New Roman" w:hAnsi="Times New Roman"/>
          <w:color w:val="000000"/>
          <w:sz w:val="16"/>
        </w:rPr>
        <w:t>st</w:t>
      </w:r>
      <w:r>
        <w:rPr>
          <w:rFonts w:ascii="Times New Roman" w:hAnsi="Times New Roman"/>
          <w:color w:val="000000"/>
          <w:sz w:val="24"/>
        </w:rPr>
        <w:t xml:space="preserve">,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7.09.</w:t>
      </w:r>
    </w:p>
    <w:p>
      <w:pPr>
        <w:pStyle w:val="TextBody"/>
        <w:bidi w:val="0"/>
        <w:spacing w:before="0" w:after="240"/>
        <w:jc w:val="both"/>
        <w:rPr/>
      </w:pPr>
      <w:r>
        <w:rPr>
          <w:rFonts w:ascii="Times New Roman" w:hAnsi="Times New Roman"/>
          <w:color w:val="000000"/>
          <w:sz w:val="24"/>
          <w:u w:val="single"/>
        </w:rPr>
        <w:t xml:space="preserve">Annual Independent Public Accountant’s Reports </w:t>
      </w:r>
      <w:r>
        <w:rPr>
          <w:rFonts w:ascii="Times New Roman" w:hAnsi="Times New Roman"/>
          <w:color w:val="000000"/>
          <w:sz w:val="24"/>
        </w:rPr>
        <w:t>To the extent prepared on behalf of the Servicer in connection with the public offering of securities backed by or relating to automobile receivables, the Servicer will deliver to the Administrative Agent, on or before April 30</w:t>
      </w:r>
      <w:r>
        <w:rPr>
          <w:rFonts w:ascii="Times New Roman" w:hAnsi="Times New Roman"/>
          <w:color w:val="000000"/>
          <w:sz w:val="16"/>
        </w:rPr>
        <w:t>th</w:t>
      </w:r>
      <w:r>
        <w:rPr>
          <w:color w:val="000000"/>
        </w:rPr>
        <w:t xml:space="preserve"> </w:t>
      </w:r>
      <w:r>
        <w:rPr>
          <w:rFonts w:ascii="Times New Roman" w:hAnsi="Times New Roman"/>
          <w:color w:val="000000"/>
          <w:sz w:val="24"/>
        </w:rPr>
        <w:t>of each year beginning in 2020, a copy of a report prepared by a firm of 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In the event such independent certified public accountants require the Custodian, the Account Bank or the Backup Servicer to agree to the procedures to be performed by such firm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report shall also indicate that the firm is “Independent” of the Servicer and its Affiliates within the meaning of the Code of Professional Ethics of the American Institute of Certified Public Accountants.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7.10.</w:t>
      </w:r>
    </w:p>
    <w:p>
      <w:pPr>
        <w:pStyle w:val="TextBody"/>
        <w:bidi w:val="0"/>
        <w:spacing w:before="0" w:after="240"/>
        <w:jc w:val="both"/>
        <w:rPr/>
      </w:pPr>
      <w:r>
        <w:rPr>
          <w:rFonts w:ascii="Times New Roman" w:hAnsi="Times New Roman"/>
          <w:color w:val="000000"/>
          <w:sz w:val="24"/>
          <w:u w:val="single"/>
        </w:rPr>
        <w:t xml:space="preserve">Rights Prior to Assumption of Duties by the Backup Servicer or Designation of Successor Servicer </w:t>
      </w:r>
      <w:r>
        <w:rPr>
          <w:rFonts w:ascii="Times New Roman" w:hAnsi="Times New Roman"/>
          <w:color w:val="000000"/>
          <w:sz w:val="24"/>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that such Monthly Report is readable and contains all information necessary for the Backup Servicer to complete its duties. The Backup Servicer shall, within [***] Business Days of each Reporting Date, load the electronic file received from the Servicer, confirm such computer tape or diskette is in readable form and verify (i) the aggregate Principal Balance of all Receivables as of the most recent Determination Date,</w:t>
      </w:r>
      <w:r>
        <w:rPr>
          <w:color w:val="000000"/>
        </w:rPr>
        <w:t xml:space="preserve"> </w:t>
      </w:r>
      <w:r>
        <w:rPr>
          <w:rFonts w:ascii="Times New Roman" w:hAnsi="Times New Roman"/>
          <w:color w:val="000000"/>
          <w:sz w:val="24"/>
        </w:rPr>
        <w:t xml:space="preserve">(ii) each Concentration Limit and (iii) the Net Principal Balance as set forth in the Monthly Report. The Backup Servicer shall further verify the Borrowing Base, Monthly Principal Payment Amount, Servicing Fees, Account Bank Fee and Backup Servicing Fee (excluding any additional fees), amounts remaining to be distributed to the Borrower in accordance with Section 2.08, the Reserve Account Amount as of the end of the Collection Period, the Annualized Default Ratio, the Annualized Net Loss Ratio, the Collateral Coverage Ratio, the UACC Excess Spread Percentage, the Vroom Excess Spread Percentage, and the Overcollateralization Percentage based solely on a mathematical recalculation of the information contained in the Monthly Report as of the related Reporting Date (calculated as of the related Determination Date, or, with respect to Receivables added to the Collateral following such Determination Date, but prior to the date of such Monthly Report, the related Cutoff Date). In addition, the Backup Servicer shall verify any other amounts or calculations as may be mutually agreed to by the Administrative Agent and the Backup Servicer based solely on a mathematical recalculation of the information contained in the Monthly Report as of the related Reporting Date. In the event of any discrepancy between the information set forth in the three foregoing sentences, as calculated by the Servicer, from that determined or calculated by the Backup Servicer, the Backup Servicer shall promptly notify the Servicer and, if within [***] days of such notice being provided to the Servicer, the Backup Servicer and the Servicer are unable to resolve such discrepancy, the Backup Servicer shall promptly notify the Administrative Agent of such discrepancy. The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Servicer shall cooperate with the Backup Servicer to ensure that the Monthly Report contains sufficient information for the Backup Servicer to perform its duties hereunder. Notwithstanding the foregoing, if the electronic file or Monthly Report does not contain sufficient information for the Backup Servicer to perform its duties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the performance of any action unable to be taken hereunder without such additional information until it is received from the Servicer. In the performance of its duties hereunder, the Backup Servicer shall be entitled to conclusively rely on the Monthly Report or written notice with respect to the occurrence of any Overcollateralization Increase Event, Termination Date or other event which affects the verification obligations of the Backup Servicer, with no duty to independently verify the information therein or confirm whether any such event has occurred or otherwise make any determination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request in writing, up to four times per calendar year, that the Servicer use commercially reasonable efforts to promptly deliver to the Backup Servicer the Test Data File, in a format acceptable to the Backup Servicer; provided, that if an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confirm in writing to the Servicer and the Administrative Agent that it has received and verified the completeness of the Test Data File within [***]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be indemnified by the Servicer and the Borrower from and against any fee, damage, loss, liability or expense incurred (including the reasonable fees and expenses of counsel and court costs, including, without limitation, those incurred in connection with any enforcement (including any action, claim, or suit brought) by the Backup Servicer of any indemnification or other obligation of Servicer or Borrower)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 This indemnification shall survive the resignation or removal of the Backup Servicer, and the termination or assignment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Any entity into which</w:t>
      </w:r>
      <w:r>
        <w:rPr>
          <w:color w:val="000000"/>
        </w:rPr>
        <w:t xml:space="preserve"> </w:t>
      </w:r>
      <w:r>
        <w:rPr>
          <w:rFonts w:ascii="Times New Roman" w:hAnsi="Times New Roman"/>
          <w:color w:val="000000"/>
          <w:sz w:val="24"/>
        </w:rPr>
        <w:t>the Backup Servicer (including in its role as Successor Servicer) may be merged or converted or with which it may be consolidated, or any entity resulting from any merger, conversion or consolidation to which the Backup Servicer shall be a party, or any entity to which substantially all the corporate trust business of the Backup Servicer may be transferred, shall be the Backup Servicer under this Agreement without further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7.11.</w:t>
      </w:r>
    </w:p>
    <w:p>
      <w:pPr>
        <w:pStyle w:val="TextBody"/>
        <w:bidi w:val="0"/>
        <w:spacing w:before="0" w:after="240"/>
        <w:jc w:val="both"/>
        <w:rPr/>
      </w:pPr>
      <w:r>
        <w:rPr>
          <w:rFonts w:ascii="Times New Roman" w:hAnsi="Times New Roman"/>
          <w:color w:val="000000"/>
          <w:sz w:val="24"/>
          <w:u w:val="single"/>
        </w:rPr>
        <w:t xml:space="preserve">Rights After Assumption of Duties by Backup Servicer or Designation of Successor Servicer; Liability </w:t>
      </w:r>
      <w:r>
        <w:rPr>
          <w:rFonts w:ascii="Times New Roman" w:hAnsi="Times New Roman"/>
          <w:color w:val="000000"/>
          <w:sz w:val="24"/>
        </w:rPr>
        <w:t>At any time following the assumption of the duties of the Servicer by a Backup Servicer or the designation of a Successor Servicer pursuant to Section 7.14 as a result of the occurrence of a Servicer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 Business Days after receipt, remit all such cash, checks and instruments, duly endorsed or with duly executed instruments of transfer to, or at the direction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charged with knowledge of any Termination Event or Unmatured Termination Event unless a Responsible Officer of the Backup Servicer obtains actual knowledge of such event or receives written notice of such event from the Borrower, the Servicer or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this Agreement, the Backup Servicer, as successor Servicer, may accept and reasonably rely on all accounting, records and work of the Servicer without audit, and the Backup Servicer, as successor Servicer, shall have no duty, responsibility, obligation or liability for the acts or omissions of the Servicer. If any error, inaccuracy or omission (collectively, “Errors”) exists in any information received from the Servicer, and such Errors should cause or materially contribute to the Backup Servicer, as the successor Servicer, making or continuing any Errors (collectively, “Continued Errors”), the Backup Servicer, as the successor Servicer, shall have no duty, responsibility, obligation or liability for such Continued Errors; provided, however, that the Backup Servicer, as the successor Servicer, agrees to use its best efforts to prevent further Continued Errors. In the event the Backup Servicer, as the successor Servicer, has actual knowledge or has received written notice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as the successor Servicer, shall be entitled to recover its costs thereby expended from the Servicer (or, to the extent not paid by the Servicer, in accordance with Section 2.08).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7.12.</w:t>
      </w:r>
    </w:p>
    <w:p>
      <w:pPr>
        <w:pStyle w:val="TextBody"/>
        <w:bidi w:val="0"/>
        <w:spacing w:before="0" w:after="240"/>
        <w:jc w:val="both"/>
        <w:rPr/>
      </w:pPr>
      <w:r>
        <w:rPr>
          <w:rFonts w:ascii="Times New Roman" w:hAnsi="Times New Roman"/>
          <w:color w:val="000000"/>
          <w:sz w:val="24"/>
          <w:u w:val="single"/>
        </w:rPr>
        <w:t xml:space="preserve">Limitation on Liability of the Servicer and Others </w:t>
      </w:r>
      <w:r>
        <w:rPr>
          <w:rFonts w:ascii="Times New Roman" w:hAnsi="Times New Roman"/>
          <w:color w:val="000000"/>
          <w:sz w:val="24"/>
        </w:rPr>
        <w:t xml:space="preserve">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bad faith or negligence in the performance of duties or by reason of its willful misconduct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7.13.</w:t>
      </w:r>
    </w:p>
    <w:p>
      <w:pPr>
        <w:pStyle w:val="TextBody"/>
        <w:bidi w:val="0"/>
        <w:spacing w:before="0" w:after="240"/>
        <w:jc w:val="both"/>
        <w:rPr/>
      </w:pPr>
      <w:r>
        <w:rPr>
          <w:rFonts w:ascii="Times New Roman" w:hAnsi="Times New Roman"/>
          <w:color w:val="000000"/>
          <w:sz w:val="24"/>
          <w:u w:val="single"/>
        </w:rPr>
        <w:t xml:space="preserve">The Servicer Not to Resign </w:t>
      </w:r>
      <w:r>
        <w:rPr>
          <w:rFonts w:ascii="Times New Roman" w:hAnsi="Times New Roman"/>
          <w:color w:val="000000"/>
          <w:sz w:val="24"/>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7.14.</w:t>
      </w:r>
    </w:p>
    <w:p>
      <w:pPr>
        <w:pStyle w:val="TextBody"/>
        <w:bidi w:val="0"/>
        <w:spacing w:before="0" w:after="240"/>
        <w:jc w:val="both"/>
        <w:rPr/>
      </w:pPr>
      <w:r>
        <w:rPr>
          <w:rFonts w:ascii="Times New Roman" w:hAnsi="Times New Roman"/>
          <w:color w:val="000000"/>
          <w:sz w:val="24"/>
          <w:u w:val="single"/>
        </w:rPr>
        <w:t xml:space="preserve">Servicer Termination Events </w:t>
      </w:r>
      <w:r>
        <w:rPr>
          <w:rFonts w:ascii="Times New Roman" w:hAnsi="Times New Roman"/>
          <w:color w:val="000000"/>
          <w:sz w:val="24"/>
        </w:rPr>
        <w:t>The occurrence and continuance of any one of the following events shall constitute a “Servicer Termination Event”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“Servicer Termination Notice”), may terminate all of the rights and obligations of the Servicer as Servicer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7.15.</w:t>
      </w:r>
    </w:p>
    <w:p>
      <w:pPr>
        <w:pStyle w:val="TextBody"/>
        <w:bidi w:val="0"/>
        <w:spacing w:before="0" w:after="240"/>
        <w:jc w:val="both"/>
        <w:rPr/>
      </w:pPr>
      <w:r>
        <w:rPr>
          <w:rFonts w:ascii="Times New Roman" w:hAnsi="Times New Roman"/>
          <w:color w:val="000000"/>
          <w:sz w:val="24"/>
          <w:u w:val="single"/>
        </w:rPr>
        <w:t xml:space="preserve">Appointment of Successor Servicer </w:t>
      </w:r>
      <w:r>
        <w:rPr>
          <w:rFonts w:ascii="Times New Roman" w:hAnsi="Times New Roman"/>
          <w:color w:val="000000"/>
          <w:sz w:val="24"/>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ceases to act as Servicer, the Administrative Agent shall petition a court of competent jurisdiction to appoint any established financial institution having a net worth of not less than $[***] and whose regular business includes the servicing of subprime automobile receivables as the Successor Servicer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Indebtedness of an Obligor which is not a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the same rights of removal and termination for cause with respect to the Backup Servicer or any other Successor Servicer as with respect to UACC as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“Transition Expenses”). In no event shall the Backup Servicer, if it becomes the Successor Servicer, be responsible for any Transition Expenses. If the predecessor Servicer fails to pay the Transition Expenses, the Transition Expenses shall be payable pursuant to Section 2.08.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its appointment and acceptance, the Backup Servicer (subject to Section 7.15(a)) or the Successor Servicer, as applicable,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 The indemnification obligations of the Backup Servicer, upon becoming a successor Servicer are expressly limited to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those instances of gross negligence or willful misconduct of the Backup Servicer in its role as Successor Servicer.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7.16.</w:t>
      </w:r>
    </w:p>
    <w:p>
      <w:pPr>
        <w:pStyle w:val="TextBody"/>
        <w:bidi w:val="0"/>
        <w:spacing w:before="0" w:after="240"/>
        <w:jc w:val="both"/>
        <w:rPr/>
      </w:pPr>
      <w:r>
        <w:rPr>
          <w:rFonts w:ascii="Times New Roman" w:hAnsi="Times New Roman"/>
          <w:color w:val="000000"/>
          <w:sz w:val="24"/>
          <w:u w:val="single"/>
        </w:rPr>
        <w:t xml:space="preserve">Merger or Consolidation, Assumption of Obligations or Resignation of the Servicer </w:t>
      </w:r>
      <w:r>
        <w:rPr>
          <w:rFonts w:ascii="Times New Roman" w:hAnsi="Times New Roman"/>
          <w:color w:val="000000"/>
          <w:sz w:val="24"/>
        </w:rPr>
        <w:t>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written notice of such consolidation, merger, succession or resignation shall be delivered by the Servicer to the Administrative Agent and the Custodian;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after giving effect to such consolidation, merger, succession or resignation, no Servicer Termination Event and no event which after notice or lapse of time, or both, would become a Servicer Termination Event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Termination Event or Unmatured Termination Event would occur as result of such consolidation, merger, succession or resignation;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UACC is the Servicer, the Servicer shall have delivered to the Borrower, the Administrative Agent, the Backup Servicer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7.17.</w:t>
      </w:r>
    </w:p>
    <w:p>
      <w:pPr>
        <w:pStyle w:val="TextBody"/>
        <w:bidi w:val="0"/>
        <w:spacing w:before="0" w:after="240"/>
        <w:jc w:val="both"/>
        <w:rPr/>
      </w:pPr>
      <w:r>
        <w:rPr>
          <w:rFonts w:ascii="Times New Roman" w:hAnsi="Times New Roman"/>
          <w:color w:val="000000"/>
          <w:sz w:val="24"/>
          <w:u w:val="single"/>
        </w:rPr>
        <w:t xml:space="preserve">Responsibilities of the Borrower </w:t>
      </w:r>
      <w:r>
        <w:rPr>
          <w:rFonts w:ascii="Times New Roman" w:hAnsi="Times New Roman"/>
          <w:color w:val="000000"/>
          <w:sz w:val="24"/>
        </w:rPr>
        <w:t>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2.08(ix),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Custody of Receivable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and the Secured Parties under the terms of this Agreement, as agent for the Administrative Agent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7.19.</w:t>
      </w:r>
    </w:p>
    <w:p>
      <w:pPr>
        <w:pStyle w:val="TextBody"/>
        <w:bidi w:val="0"/>
        <w:spacing w:before="0" w:after="240"/>
        <w:jc w:val="both"/>
        <w:rPr/>
      </w:pPr>
      <w:r>
        <w:rPr>
          <w:rFonts w:ascii="Times New Roman" w:hAnsi="Times New Roman"/>
          <w:color w:val="000000"/>
          <w:sz w:val="24"/>
          <w:u w:val="single"/>
        </w:rPr>
        <w:t>Duties of Custodian; Safekeeping</w:t>
      </w:r>
      <w:r>
        <w:rPr>
          <w:rFonts w:ascii="Times New Roman" w:hAnsi="Times New Roman"/>
          <w:color w:val="000000"/>
          <w:sz w:val="24"/>
        </w:rPr>
        <w:t>. UACC,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that UACC may convert a Tangible Contract into a Paper-In Contract so long as such Paper-In Contract is immediately transferred from the Originator Vault Partition to the Warehouse Vault Partition pursuant to the E-Vault System and such transfer has been accepted by the Custodian and confirmed by the Originator within the E-Vault System.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Maintenance of and Access to Records</w:t>
      </w:r>
      <w:r>
        <w:rPr>
          <w:rFonts w:ascii="Times New Roman" w:hAnsi="Times New Roman"/>
          <w:color w:val="000000"/>
          <w:sz w:val="24"/>
        </w:rPr>
        <w:t>. The Custodian shall maintain each Receivable File at one of the locations specified in Schedule D or at such other location as shall be specified to the Administrative Agent by [***]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2019)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Maintenance of Electronic Contracts</w:t>
      </w:r>
      <w:r>
        <w:rPr>
          <w:rFonts w:ascii="Times New Roman" w:hAnsi="Times New Roman"/>
          <w:color w:val="000000"/>
          <w:sz w:val="24"/>
        </w:rPr>
        <w:t xml:space="preserve">.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 Electronic Contract in the Warehouse Vault Partition on behalf of the Administrative Agent for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 (ii) a watermark on any copy of such Electronic Contract that is not a copy of the Authoritative Copy thereof shall read “Retention Copy”, “Review Copy” or “Copy Retention of Copy Original,” and (iii) 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Maintenance of Possession and Control of Contracts</w:t>
      </w:r>
      <w:r>
        <w:rPr>
          <w:rFonts w:ascii="Times New Roman" w:hAnsi="Times New Roman"/>
          <w:color w:val="000000"/>
          <w:sz w:val="24"/>
        </w:rPr>
        <w:t>.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The Custodian shall maintain the Tangible Contracts segregated on its inventory system and shall not commingle the Tangible Contracts with any other files of any other customer of the Custodian.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Standard of Care; Indemnification for Losses</w:t>
      </w:r>
      <w:r>
        <w:rPr>
          <w:rFonts w:ascii="Times New Roman" w:hAnsi="Times New Roman"/>
          <w:color w:val="000000"/>
          <w:sz w:val="24"/>
        </w:rPr>
        <w:t>. Each Receivable shall be identified on the books and records of the Custodian in a manner that (i) is consistent with the practices of a comparable custodian with respect to similar receivables, and (ii) 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misfeasance, bad faith or gross negligence of the Administrative Agent or its officers, directors, employees or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Release of Documents</w:t>
      </w:r>
      <w:r>
        <w:rPr>
          <w:rFonts w:ascii="Times New Roman" w:hAnsi="Times New Roman"/>
          <w:color w:val="000000"/>
          <w:sz w:val="24"/>
        </w:rPr>
        <w:t xml:space="preserve">. As soon as practicable after receiving written instructions from the Administrative Agent, the Custodian shall release any document in the Receivable Files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Title to Receivables</w:t>
      </w:r>
      <w:r>
        <w:rPr>
          <w:rFonts w:ascii="Times New Roman" w:hAnsi="Times New Roman"/>
          <w:color w:val="000000"/>
          <w:sz w:val="24"/>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Instructions; Authority to Act</w:t>
      </w:r>
      <w:r>
        <w:rPr>
          <w:rFonts w:ascii="Times New Roman" w:hAnsi="Times New Roman"/>
          <w:color w:val="000000"/>
          <w:sz w:val="24"/>
        </w:rPr>
        <w:t>. The Custodian shall be deemed to have received proper instructions with respect to the Receivable Files upon its receipt of written instructions signed by a Responsible Officer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Indemnification by Custodian</w:t>
      </w:r>
      <w:r>
        <w:rPr>
          <w:rFonts w:ascii="Times New Roman" w:hAnsi="Times New Roman"/>
          <w:color w:val="000000"/>
          <w:sz w:val="24"/>
        </w:rPr>
        <w:t>. UACC,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provided, however, that the Custodian shall not be liable for any portion of any such loss, liability or expense resulting from the willful misfeasance, bad faith or negligence of any Secured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Effective Period and Termination</w:t>
      </w:r>
      <w:r>
        <w:rPr>
          <w:rFonts w:ascii="Times New Roman" w:hAnsi="Times New Roman"/>
          <w:color w:val="000000"/>
          <w:sz w:val="24"/>
        </w:rPr>
        <w:t>.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 or another entity selected by the Administrative Agent as Custodian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7.20.</w:t>
      </w:r>
    </w:p>
    <w:p>
      <w:pPr>
        <w:pStyle w:val="TextBody"/>
        <w:bidi w:val="0"/>
        <w:spacing w:before="0" w:after="240"/>
        <w:jc w:val="both"/>
        <w:rPr/>
      </w:pPr>
      <w:r>
        <w:rPr>
          <w:rFonts w:ascii="Times New Roman" w:hAnsi="Times New Roman"/>
          <w:color w:val="000000"/>
          <w:sz w:val="24"/>
          <w:u w:val="single"/>
        </w:rPr>
        <w:t xml:space="preserve">Certain Duties for Electronic Contracts </w:t>
      </w:r>
      <w:r>
        <w:rPr>
          <w:rFonts w:ascii="Times New Roman" w:hAnsi="Times New Roman"/>
          <w:color w:val="000000"/>
          <w:sz w:val="24"/>
        </w:rPr>
        <w:t xml:space="preserve">The Custodian shall notify the Administrative Agent and the Borrower in writing as soon as reasonably practicable and in any event within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 suspected theft of, accidental disclosure of, loss of, or inability to account for, any nonpublic or confidential information (including, but not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 attempted unauthorized access to an Electronic Contract which constitutes or evidences a Receivable, (v) any claim in writing of any Person (other than the Administrative Agent) of an interest in an Electronic Contract which constitutes or evidences a Receivable, and (vi) 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Administrative Agent and the Borrower of such event if such event prevents the Custodian from performing its duties hereunder and use commercially reasonable efforts to reestablish access, including contacting the E-Vault Provider for trouble-shooting.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any time and from time to time during regular business hours and upon at least [***]Business Days’ prior written notice, the Custodian shall permit the Administrative Agent and its agents or representatives: (i) to conduct periodic reviews of the Electronic Contracts which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constitute or evidence Receivables and the related Records of the Custodian, which shall consist of setting all such Electronic Contracts to “audit” status and providing the Administrative Agent 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 of such matters; </w:t>
      </w:r>
      <w:r>
        <w:rPr>
          <w:rFonts w:ascii="Times New Roman" w:hAnsi="Times New Roman"/>
          <w:i/>
          <w:color w:val="000000"/>
          <w:sz w:val="24"/>
        </w:rPr>
        <w:t>provided</w:t>
      </w:r>
      <w:r>
        <w:rPr>
          <w:rFonts w:ascii="Times New Roman" w:hAnsi="Times New Roman"/>
          <w:color w:val="000000"/>
          <w:sz w:val="24"/>
        </w:rPr>
        <w:t>, that if no Termination Event and no breach of the Custodian’s obligations hereunder shall have occurred and be continuing, the Administrative Agent and its agents or representatives shall only be entitled to conduct two (2) such reviews of the Custodian during any calendar year. The cost of any such examination shall be reimbursed by the Borrower in accordance with Section 2.08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 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 (a) 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8</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THE BACKUP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8.01.</w:t>
      </w:r>
    </w:p>
    <w:p>
      <w:pPr>
        <w:pStyle w:val="TextBody"/>
        <w:bidi w:val="0"/>
        <w:spacing w:before="0" w:after="240"/>
        <w:jc w:val="both"/>
        <w:rPr/>
      </w:pPr>
      <w:r>
        <w:rPr>
          <w:rFonts w:ascii="Times New Roman" w:hAnsi="Times New Roman"/>
          <w:color w:val="000000"/>
          <w:sz w:val="24"/>
          <w:u w:val="single"/>
        </w:rPr>
        <w:t xml:space="preserve">Designation of the Backup Servicer </w:t>
      </w:r>
      <w:r>
        <w:rPr>
          <w:rFonts w:ascii="Times New Roman" w:hAnsi="Times New Roman"/>
          <w:color w:val="000000"/>
          <w:sz w:val="24"/>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receipt by the Backup Servicer of a notice from the Administrative Agent of the designation of a new Backup Servicer pursuant to Section 8.04, the Backup Servicer will not terminate its activities as Backup Servicer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8.02.</w:t>
      </w:r>
    </w:p>
    <w:p>
      <w:pPr>
        <w:pStyle w:val="TextBody"/>
        <w:bidi w:val="0"/>
        <w:spacing w:before="0" w:after="240"/>
        <w:jc w:val="both"/>
        <w:rPr/>
      </w:pPr>
      <w:r>
        <w:rPr>
          <w:rFonts w:ascii="Times New Roman" w:hAnsi="Times New Roman"/>
          <w:color w:val="000000"/>
          <w:sz w:val="24"/>
          <w:u w:val="single"/>
        </w:rPr>
        <w:t xml:space="preserve">Duties of the Backup Servicer </w:t>
      </w:r>
      <w:r>
        <w:rPr>
          <w:rFonts w:ascii="Times New Roman" w:hAnsi="Times New Roman"/>
          <w:color w:val="000000"/>
          <w:sz w:val="24"/>
        </w:rPr>
        <w:t>From the Closing Date until the earlier of (i) its removal pursuant to Section 8.04, (ii) its resignation pursuant to Section 8.05, or (iii) the Facility Termination Date, the Backup Servicer shall perform, on behalf of the Secured Parties, the duties and obligations set forth in Sections 7.10 and 7.11.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8.03.</w:t>
      </w:r>
    </w:p>
    <w:p>
      <w:pPr>
        <w:pStyle w:val="TextBody"/>
        <w:bidi w:val="0"/>
        <w:spacing w:before="0" w:after="240"/>
        <w:jc w:val="both"/>
        <w:rPr/>
      </w:pPr>
      <w:r>
        <w:rPr>
          <w:rFonts w:ascii="Times New Roman" w:hAnsi="Times New Roman"/>
          <w:color w:val="000000"/>
          <w:sz w:val="24"/>
          <w:u w:val="single"/>
        </w:rPr>
        <w:t xml:space="preserve">Backup Servicing Compensation </w:t>
      </w:r>
      <w:r>
        <w:rPr>
          <w:rFonts w:ascii="Times New Roman" w:hAnsi="Times New Roman"/>
          <w:color w:val="000000"/>
          <w:sz w:val="24"/>
        </w:rPr>
        <w:t>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(iii) its resignation as Backup Servicer pursuant to Section 8.05 or (iv)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8.04.</w:t>
      </w:r>
    </w:p>
    <w:p>
      <w:pPr>
        <w:pStyle w:val="TextBody"/>
        <w:bidi w:val="0"/>
        <w:spacing w:before="0" w:after="240"/>
        <w:jc w:val="both"/>
        <w:rPr/>
      </w:pPr>
      <w:r>
        <w:rPr>
          <w:rFonts w:ascii="Times New Roman" w:hAnsi="Times New Roman"/>
          <w:color w:val="000000"/>
          <w:sz w:val="24"/>
          <w:u w:val="single"/>
        </w:rPr>
        <w:t xml:space="preserve">Backup Servicer Removal </w:t>
      </w:r>
      <w:r>
        <w:rPr>
          <w:rFonts w:ascii="Times New Roman" w:hAnsi="Times New Roman"/>
          <w:color w:val="000000"/>
          <w:sz w:val="24"/>
        </w:rPr>
        <w:t xml:space="preserve">The Backup Servicer may be removed upon [***] days’ prior written notice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“Backup Servicer Termination Notice”).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mutually agreed upon by the Backup Servicer and the Administrative Agent. If a successor Backup Servicer does not take office within [***] days after the Backup Servicer is removed, the Backup Servicer may petition any court of competent jurisdiction for the appointment of a successor Backup Servicer, with all fees, costs and expenses (including any attorneys’ fees and expenses) of such petition to be paid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8.05.</w:t>
      </w:r>
    </w:p>
    <w:p>
      <w:pPr>
        <w:pStyle w:val="TextBody"/>
        <w:bidi w:val="0"/>
        <w:spacing w:before="0" w:after="240"/>
        <w:jc w:val="both"/>
        <w:rPr/>
      </w:pPr>
      <w:r>
        <w:rPr>
          <w:rFonts w:ascii="Times New Roman" w:hAnsi="Times New Roman"/>
          <w:color w:val="000000"/>
          <w:sz w:val="24"/>
          <w:u w:val="single"/>
        </w:rPr>
        <w:t xml:space="preserve">Backup Servicer Not to Resign </w:t>
      </w:r>
      <w:r>
        <w:rPr>
          <w:rFonts w:ascii="Times New Roman" w:hAnsi="Times New Roman"/>
          <w:color w:val="000000"/>
          <w:sz w:val="24"/>
        </w:rPr>
        <w:t>The Backup Servicer shall resign only with the prior written consent of the Administrative Agent and the Required Lenders and, so long as no Termination Event or Servicer Termination Event has occurred, the Borrower or if the Backup Servicer provides an Opinion of Counsel to the Administrative Agent to the effect that the 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 If a successor Backup Servicer does not take office within [***] days after the Backup Servicer resigns or is removed, the Backup Servicer may petition any court of competent jurisdiction for the appointment of a successor Backup Servicer, with all fees, costs and expenses (including any attorneys’ fees and expenses) of such petition to be paid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8.06.</w:t>
      </w:r>
    </w:p>
    <w:p>
      <w:pPr>
        <w:pStyle w:val="TextBody"/>
        <w:bidi w:val="0"/>
        <w:spacing w:before="0" w:after="240"/>
        <w:jc w:val="both"/>
        <w:rPr/>
      </w:pPr>
      <w:r>
        <w:rPr>
          <w:rFonts w:ascii="Times New Roman" w:hAnsi="Times New Roman"/>
          <w:color w:val="000000"/>
          <w:sz w:val="24"/>
          <w:u w:val="single"/>
        </w:rPr>
        <w:t xml:space="preserve">Monthly Backup Servicer Certificate </w:t>
      </w:r>
      <w:r>
        <w:rPr>
          <w:rFonts w:ascii="Times New Roman" w:hAnsi="Times New Roman"/>
          <w:color w:val="000000"/>
          <w:sz w:val="24"/>
        </w:rPr>
        <w:t>The Backup Servicer shall provide a Monthly Backup Servicer Certificate to the Administrative Agent and the Borrower, on or before the close of business on the [***]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8.07.</w:t>
      </w:r>
    </w:p>
    <w:p>
      <w:pPr>
        <w:pStyle w:val="TextBody"/>
        <w:bidi w:val="0"/>
        <w:spacing w:before="0" w:after="240"/>
        <w:jc w:val="both"/>
        <w:rPr/>
      </w:pPr>
      <w:r>
        <w:rPr>
          <w:rFonts w:ascii="Times New Roman" w:hAnsi="Times New Roman"/>
          <w:color w:val="000000"/>
          <w:sz w:val="24"/>
          <w:u w:val="single"/>
        </w:rPr>
        <w:t>Covenants of the Backup Servicer; Affirmative Covenants</w:t>
      </w:r>
      <w:r>
        <w:rPr>
          <w:rFonts w:ascii="Times New Roman" w:hAnsi="Times New Roman"/>
          <w:color w:val="000000"/>
          <w:sz w:val="24"/>
        </w:rPr>
        <w:t>. From the date of its appointment until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The Backup Servicer will comply in all material respects with all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Preservation of Existence</w:t>
      </w:r>
      <w:r>
        <w:rPr>
          <w:rFonts w:ascii="Times New Roman" w:hAnsi="Times New Roman"/>
          <w:color w:val="000000"/>
          <w:sz w:val="24"/>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Negative Covenant</w:t>
      </w:r>
      <w:r>
        <w:rPr>
          <w:rFonts w:ascii="Times New Roman" w:hAnsi="Times New Roman"/>
          <w:color w:val="000000"/>
          <w:sz w:val="24"/>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9</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TERMINATION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9.01.</w:t>
      </w:r>
    </w:p>
    <w:p>
      <w:pPr>
        <w:pStyle w:val="TextBody"/>
        <w:bidi w:val="0"/>
        <w:spacing w:before="0" w:after="240"/>
        <w:jc w:val="both"/>
        <w:rPr/>
      </w:pPr>
      <w:r>
        <w:rPr>
          <w:rFonts w:ascii="Times New Roman" w:hAnsi="Times New Roman"/>
          <w:color w:val="000000"/>
          <w:sz w:val="24"/>
          <w:u w:val="single"/>
        </w:rPr>
        <w:t xml:space="preserve">Termination Events </w:t>
      </w:r>
      <w:r>
        <w:rPr>
          <w:rFonts w:ascii="Times New Roman" w:hAnsi="Times New Roman"/>
          <w:color w:val="000000"/>
          <w:sz w:val="24"/>
        </w:rPr>
        <w:t>Each of the following events shall constitute a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demand, protest or any notice of any kind, all of which are hereby expressly waived by the Borrower (with a copy to each Hedge Counterparty), (i) in the event that a Termination Event described in Section 9.01(a)(vii) has occurred, the Termination Date shall automatically occur and (ii) upon the occurrence of any other Termination Event, the Administrative Agent shall, at the written request, or may with the written consent, of the Required Lenders, by notice to the Borrower, declare the Termination Date to have occurred. Upon the automatic occurrence or declaration of the Termination Date, all Loans Outstanding and all other amounts owing by the Borrower under this Agreement shall be accelerated and become immediately due and payable.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9.02.</w:t>
      </w:r>
    </w:p>
    <w:p>
      <w:pPr>
        <w:pStyle w:val="TextBody"/>
        <w:bidi w:val="0"/>
        <w:spacing w:before="0" w:after="240"/>
        <w:jc w:val="both"/>
        <w:rPr/>
      </w:pPr>
      <w:r>
        <w:rPr>
          <w:rFonts w:ascii="Times New Roman" w:hAnsi="Times New Roman"/>
          <w:color w:val="000000"/>
          <w:sz w:val="24"/>
          <w:u w:val="single"/>
        </w:rPr>
        <w:t xml:space="preserve">Actions Upon Occurrence of the Termination Date </w:t>
      </w:r>
      <w:r>
        <w:rPr>
          <w:rFonts w:ascii="Times New Roman" w:hAnsi="Times New Roman"/>
          <w:color w:val="000000"/>
          <w:sz w:val="24"/>
        </w:rPr>
        <w:t xml:space="preserve">Upon the automatic occurrence, or the declaration of the occurrence, of the Termination Date in accordance with Section 9.01(b), the following shall immediately occur without further action: (i) the Revolving Period shall terminate and no further Loans will be made and (ii) all Available Funds after item (v) of Section 2.08 will be used to reduce the Loans Outstanding and Interest on all Loans Outstanding will increase to the Default Rate.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automatic occurrence of, or the declaration of the occurrence of, the Termination Date,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Lenders, may, or at the direction of the Required Lenders, shall take the following remedial 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Reserve Account, the Collection Account or any part of such accounts in accordance with the priorities required by Section 2.08.</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take any action permitted under the Basic Documents, including exercising any rights available to it under the Intercreditor Agreement.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Consistent with the rights and remedies of a secured party under the UCC (and except as otherwise required by the UCC), the Administrative Agent may, without notice except as specified below, foreclose,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9.03.</w:t>
      </w:r>
    </w:p>
    <w:p>
      <w:pPr>
        <w:pStyle w:val="TextBody"/>
        <w:bidi w:val="0"/>
        <w:spacing w:before="0" w:after="240"/>
        <w:jc w:val="both"/>
        <w:rPr/>
      </w:pPr>
      <w:r>
        <w:rPr>
          <w:rFonts w:ascii="Times New Roman" w:hAnsi="Times New Roman"/>
          <w:color w:val="000000"/>
          <w:sz w:val="24"/>
          <w:u w:val="single"/>
        </w:rPr>
        <w:t xml:space="preserve">Exercise of Remedies </w:t>
      </w:r>
      <w:r>
        <w:rPr>
          <w:rFonts w:ascii="Times New Roman" w:hAnsi="Times New Roman"/>
          <w:color w:val="000000"/>
          <w:sz w:val="24"/>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9.04.</w:t>
      </w:r>
    </w:p>
    <w:p>
      <w:pPr>
        <w:pStyle w:val="TextBody"/>
        <w:bidi w:val="0"/>
        <w:spacing w:before="0" w:after="240"/>
        <w:jc w:val="both"/>
        <w:rPr/>
      </w:pPr>
      <w:r>
        <w:rPr>
          <w:rFonts w:ascii="Times New Roman" w:hAnsi="Times New Roman"/>
          <w:color w:val="000000"/>
          <w:sz w:val="24"/>
          <w:u w:val="single"/>
        </w:rPr>
        <w:t xml:space="preserve">Waiver of Certain Laws </w:t>
      </w:r>
      <w:r>
        <w:rPr>
          <w:rFonts w:ascii="Times New Roman" w:hAnsi="Times New Roman"/>
          <w:color w:val="000000"/>
          <w:sz w:val="24"/>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9.05.</w:t>
      </w:r>
    </w:p>
    <w:p>
      <w:pPr>
        <w:pStyle w:val="TextBody"/>
        <w:bidi w:val="0"/>
        <w:spacing w:before="0" w:after="240"/>
        <w:jc w:val="both"/>
        <w:rPr/>
      </w:pPr>
      <w:r>
        <w:rPr>
          <w:rFonts w:ascii="Times New Roman" w:hAnsi="Times New Roman"/>
          <w:color w:val="000000"/>
          <w:sz w:val="24"/>
          <w:u w:val="single"/>
        </w:rPr>
        <w:t xml:space="preserve">Power of Attorney </w:t>
      </w:r>
      <w:r>
        <w:rPr>
          <w:rFonts w:ascii="Times New Roman" w:hAnsi="Times New Roman"/>
          <w:color w:val="000000"/>
          <w:sz w:val="24"/>
        </w:rPr>
        <w:t xml:space="preserve">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10</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Indemnities by the Borrower and UACC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amounts subject to the indemnification provisions of this Section and payable by the Borrower shall be paid by the Borrower solely pursuant to the provisions of Section 2.08 in the order and priority set forth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11</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 xml:space="preserve">THE ADMINISTRATIVE AGENT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11.01.</w:t>
      </w:r>
    </w:p>
    <w:p>
      <w:pPr>
        <w:pStyle w:val="TextBody"/>
        <w:bidi w:val="0"/>
        <w:spacing w:before="0" w:after="240"/>
        <w:jc w:val="both"/>
        <w:rPr/>
      </w:pPr>
      <w:r>
        <w:rPr>
          <w:rFonts w:ascii="Times New Roman" w:hAnsi="Times New Roman"/>
          <w:color w:val="000000"/>
          <w:sz w:val="24"/>
          <w:u w:val="single"/>
        </w:rPr>
        <w:t xml:space="preserve">Authorization and Action </w:t>
      </w:r>
      <w:r>
        <w:rPr>
          <w:rFonts w:ascii="Times New Roman" w:hAnsi="Times New Roman"/>
          <w:color w:val="000000"/>
          <w:sz w:val="24"/>
        </w:rPr>
        <w:t>Each Lender and each Secured Party hereby designates and appoints [***](and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otherwise exist against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promptly distribute to each Lender all notices, requests for consent and other information received by the Administrative Agent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11.02.</w:t>
      </w:r>
    </w:p>
    <w:p>
      <w:pPr>
        <w:pStyle w:val="TextBody"/>
        <w:bidi w:val="0"/>
        <w:spacing w:before="0" w:after="240"/>
        <w:jc w:val="both"/>
        <w:rPr/>
      </w:pPr>
      <w:r>
        <w:rPr>
          <w:rFonts w:ascii="Times New Roman" w:hAnsi="Times New Roman"/>
          <w:color w:val="000000"/>
          <w:sz w:val="24"/>
          <w:u w:val="single"/>
        </w:rPr>
        <w:t xml:space="preserve">Delegation of Duties </w:t>
      </w:r>
      <w:r>
        <w:rPr>
          <w:rFonts w:ascii="Times New Roman" w:hAnsi="Times New Roman"/>
          <w:color w:val="000000"/>
          <w:sz w:val="24"/>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11.03.</w:t>
      </w:r>
    </w:p>
    <w:p>
      <w:pPr>
        <w:pStyle w:val="TextBody"/>
        <w:bidi w:val="0"/>
        <w:spacing w:before="0" w:after="240"/>
        <w:jc w:val="both"/>
        <w:rPr/>
      </w:pPr>
      <w:r>
        <w:rPr>
          <w:rFonts w:ascii="Times New Roman" w:hAnsi="Times New Roman"/>
          <w:color w:val="000000"/>
          <w:sz w:val="24"/>
          <w:u w:val="single"/>
        </w:rPr>
        <w:t xml:space="preserve">Exculpatory Provisions </w:t>
      </w:r>
      <w:r>
        <w:rPr>
          <w:rFonts w:ascii="Times New Roman" w:hAnsi="Times New Roman"/>
          <w:color w:val="000000"/>
          <w:sz w:val="24"/>
        </w:rPr>
        <w:t xml:space="preserve">Neither the Administrative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Termination Event or Servicer Termination Event unless it has received written notice thereof from the Borrower, the Servicer or a Secured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11.04.</w:t>
      </w:r>
    </w:p>
    <w:p>
      <w:pPr>
        <w:pStyle w:val="TextBody"/>
        <w:bidi w:val="0"/>
        <w:spacing w:before="0" w:after="240"/>
        <w:jc w:val="both"/>
        <w:rPr/>
      </w:pPr>
      <w:r>
        <w:rPr>
          <w:rFonts w:ascii="Times New Roman" w:hAnsi="Times New Roman"/>
          <w:color w:val="000000"/>
          <w:sz w:val="24"/>
          <w:u w:val="single"/>
        </w:rPr>
        <w:t xml:space="preserve">Reliance </w:t>
      </w:r>
      <w:r>
        <w:rPr>
          <w:rFonts w:ascii="Times New Roman" w:hAnsi="Times New Roman"/>
          <w:color w:val="000000"/>
          <w:sz w:val="24"/>
        </w:rPr>
        <w:t>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not be deemed to have knowledge or notice of the occurrence of any breach of this Agreement or the occurrence of any Termination Event or Servicer Termination Event unless it has received notice from the Borrower, the Servicer, the Backup Servicer or any Lender, referring to this Agreement and describing such event. In the event that the Administrative Agent receives such a notice, it shall promptly give notice thereof to each Lender.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event as it shall deem advisable in the best interests of the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11.05.</w:t>
      </w:r>
    </w:p>
    <w:p>
      <w:pPr>
        <w:pStyle w:val="TextBody"/>
        <w:bidi w:val="0"/>
        <w:spacing w:before="0" w:after="240"/>
        <w:jc w:val="both"/>
        <w:rPr/>
      </w:pPr>
      <w:r>
        <w:rPr>
          <w:rFonts w:ascii="Times New Roman" w:hAnsi="Times New Roman"/>
          <w:color w:val="000000"/>
          <w:sz w:val="24"/>
          <w:u w:val="single"/>
        </w:rPr>
        <w:t xml:space="preserve">Non-Reliance on Administrative Agent and Other Lenders </w:t>
      </w:r>
      <w:r>
        <w:rPr>
          <w:rFonts w:ascii="Times New Roman" w:hAnsi="Times New Roman"/>
          <w:color w:val="000000"/>
          <w:sz w:val="24"/>
        </w:rPr>
        <w:t xml:space="preserve">Each Lender expressly acknowledges that neither the Administrative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nor any of its officers, directors, employees, agents, attorneys-in-fact or Affiliates has made any representations or warranties to it and that no act by the Administrative Agent hereafter taken, including any review of the affairs of the Borrower, UACC, the Servicer, the Backup Servicer, the Account Bank and the Custodian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the Administrative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the Administrative Agent hereunder, the Administrative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the Administrative Agent or any of its officers, directors, employees, agents, attorneys-in-fact or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11.06.</w:t>
      </w:r>
    </w:p>
    <w:p>
      <w:pPr>
        <w:pStyle w:val="TextBody"/>
        <w:bidi w:val="0"/>
        <w:spacing w:before="0" w:after="240"/>
        <w:jc w:val="both"/>
        <w:rPr/>
      </w:pPr>
      <w:r>
        <w:rPr>
          <w:rFonts w:ascii="Times New Roman" w:hAnsi="Times New Roman"/>
          <w:color w:val="000000"/>
          <w:sz w:val="24"/>
          <w:u w:val="single"/>
        </w:rPr>
        <w:t xml:space="preserve">Indemnification </w:t>
      </w:r>
      <w:r>
        <w:rPr>
          <w:rFonts w:ascii="Times New Roman" w:hAnsi="Times New Roman"/>
          <w:color w:val="000000"/>
          <w:sz w:val="24"/>
        </w:rPr>
        <w:t xml:space="preserve">The Lenders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provided that no Lender shall be liable for the payment of any portion of such liabilities, obligations, losses, damages, penalties, actions, judgments, suits, costs, expenses or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disbursements of the Administrative Agent resulting from its own gross negligence or willful misconduct. The provisions of this Section shall survive the payment of the obligations under this Agreement, including the Loans Outstanding, the termination of this Agreement, and any resignation or removal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11.07.</w:t>
      </w:r>
    </w:p>
    <w:p>
      <w:pPr>
        <w:pStyle w:val="TextBody"/>
        <w:bidi w:val="0"/>
        <w:spacing w:before="0" w:after="240"/>
        <w:jc w:val="both"/>
        <w:rPr/>
      </w:pPr>
      <w:r>
        <w:rPr>
          <w:rFonts w:ascii="Times New Roman" w:hAnsi="Times New Roman"/>
          <w:color w:val="000000"/>
          <w:sz w:val="24"/>
          <w:u w:val="single"/>
        </w:rPr>
        <w:t xml:space="preserve">Administrative Agent in its Individual Capacity </w:t>
      </w:r>
      <w:r>
        <w:rPr>
          <w:rFonts w:ascii="Times New Roman" w:hAnsi="Times New Roman"/>
          <w:color w:val="000000"/>
          <w:sz w:val="24"/>
        </w:rPr>
        <w:t>The Administrative Agent and its Affiliates may make loans to, accept deposits from and generally engage in any kind of business with the Borrower and any other party to a Basic Document as though it 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11.08.</w:t>
      </w:r>
    </w:p>
    <w:p>
      <w:pPr>
        <w:pStyle w:val="TextBody"/>
        <w:bidi w:val="0"/>
        <w:spacing w:before="0" w:after="240"/>
        <w:jc w:val="both"/>
        <w:rPr/>
      </w:pPr>
      <w:r>
        <w:rPr>
          <w:rFonts w:ascii="Times New Roman" w:hAnsi="Times New Roman"/>
          <w:color w:val="000000"/>
          <w:sz w:val="24"/>
          <w:u w:val="single"/>
        </w:rPr>
        <w:t xml:space="preserve">Successor Agents </w:t>
      </w:r>
      <w:r>
        <w:rPr>
          <w:rFonts w:ascii="Times New Roman" w:hAnsi="Times New Roman"/>
          <w:color w:val="000000"/>
          <w:sz w:val="24"/>
        </w:rPr>
        <w:t>The Administrative Agent may freely assign its rights and obligations hereunder upon [***] days’ notice to the Lenders and the Borrower. The Administrative Agent may resign as Administrative Agent upon [***] days’ notice to the Lenders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or agent shall succeed to the rights, powers and duties of resigning Administrative Agent, and the term “Administrative Agent” shall mean such successor administrative agent or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 Administrative Agent, the provisions of this Article shall inure to its benefit as to any actions taken or omitted to be taken by it while it was Administrative Agent under this Agreement.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12</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ASSIGNMENTS; PARTICIPATIONS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12.01.</w:t>
      </w:r>
    </w:p>
    <w:p>
      <w:pPr>
        <w:pStyle w:val="TextBody"/>
        <w:bidi w:val="0"/>
        <w:spacing w:before="0" w:after="240"/>
        <w:jc w:val="both"/>
        <w:rPr/>
      </w:pPr>
      <w:r>
        <w:rPr>
          <w:rFonts w:ascii="Times New Roman" w:hAnsi="Times New Roman"/>
          <w:color w:val="000000"/>
          <w:sz w:val="24"/>
          <w:u w:val="single"/>
        </w:rPr>
        <w:t xml:space="preserve">Assignments and Participations </w:t>
      </w:r>
      <w:r>
        <w:rPr>
          <w:rFonts w:ascii="Times New Roman" w:hAnsi="Times New Roman"/>
          <w:color w:val="000000"/>
          <w:sz w:val="24"/>
        </w:rPr>
        <w:t xml:space="preserve">Each Lender agrees that the Notes or interest therein owned by such Lender pursuant to this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may upon at least [***] days’ notice to the Borrower and the Administrative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Borrower and any Lender at any reasonable time and from time to time upon reasonable prior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and obligations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waiver or release of any of the terms of this Agreement or to exercise or refrain from exercising any powers or rights which such Lender may have under or in respect of this Agreement shall be limited to the right to consent to any of the matters set forth in Section 12.01. Each Lender that sells a participation agrees, at the Borrower's request and expense, to use reasonable efforts to cooperate with the Borrower to effectuate the provisions of Section 2.14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prohibit any Lender from pledging or assigning as Collateral any of its rights under this Agreement to any Federal Reserve Bank or any other Governmental Authority in accordance with Applicable Law and any such pledge or Collateral assignment may be made without compliance with Section 12.01(a) or 12.01(b).</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13</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MUTUAL COVENANTS REGARDING CONFIDENTIALITY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13.01.</w:t>
      </w:r>
    </w:p>
    <w:p>
      <w:pPr>
        <w:pStyle w:val="TextBody"/>
        <w:bidi w:val="0"/>
        <w:spacing w:before="0" w:after="240"/>
        <w:jc w:val="both"/>
        <w:rPr/>
      </w:pPr>
      <w:r>
        <w:rPr>
          <w:rFonts w:ascii="Times New Roman" w:hAnsi="Times New Roman"/>
          <w:color w:val="000000"/>
          <w:sz w:val="24"/>
          <w:u w:val="single"/>
        </w:rPr>
        <w:t xml:space="preserve">Covenants of the Borrower, the Servicer, the Backup Servicer, the Account Bank and the Custodian </w:t>
      </w:r>
      <w:r>
        <w:rPr>
          <w:rFonts w:ascii="Times New Roman" w:hAnsi="Times New Roman"/>
          <w:color w:val="000000"/>
          <w:sz w:val="24"/>
        </w:rPr>
        <w:t xml:space="preserve">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the Lenders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Lender of its intention to make any such disclosure prior to making such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13.02.</w:t>
      </w:r>
    </w:p>
    <w:p>
      <w:pPr>
        <w:pStyle w:val="TextBody"/>
        <w:bidi w:val="0"/>
        <w:spacing w:before="0" w:after="240"/>
        <w:jc w:val="both"/>
        <w:rPr/>
      </w:pPr>
      <w:r>
        <w:rPr>
          <w:rFonts w:ascii="Times New Roman" w:hAnsi="Times New Roman"/>
          <w:color w:val="000000"/>
          <w:sz w:val="24"/>
          <w:u w:val="single"/>
        </w:rPr>
        <w:t xml:space="preserve">Covenants of the Administrative Agent and the Lenders </w:t>
      </w:r>
      <w:r>
        <w:rPr>
          <w:rFonts w:ascii="Times New Roman" w:hAnsi="Times New Roman"/>
          <w:color w:val="000000"/>
          <w:sz w:val="24"/>
        </w:rPr>
        <w:t>Each of the Administrative Agent and each Lender covenants and agrees that it will not disclose any of the Confidential Information now or hereafter received or obtained by it without the Borrower’s prior written consent; provided, however, that it may disclose any such Confidential Information to those of its employees or Affiliates directly involved in the transactions contemplated by the Basic Documents or to the Rating Agencies.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and each Lender may also disclose any such Confidential Information to its Advisors who need to know such information for the purpose of assisting it in connection with the transactions contemplated by the Basic Documents. Each of the Administrative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Administrative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of the Administrative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necessary for purposes of documenting any due diligence review performed by it in connection with the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and each Lender acknowledges that all Confidential Information is considered to be proprietary and of competitive value, and in many instances trade secrets. Each of the Administrative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Administrative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accorded such Confidential Information by the person or persons to whom it was disclosed.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it is understood that the Administrative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understood and agreed that no failure or delay by the Borrower, the Servicer, the Backup Servicer, the Account Bank, the Custodian, the Administrative Agent or any Lender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13.03.</w:t>
      </w:r>
    </w:p>
    <w:p>
      <w:pPr>
        <w:pStyle w:val="TextBody"/>
        <w:bidi w:val="0"/>
        <w:spacing w:before="0" w:after="240"/>
        <w:jc w:val="both"/>
        <w:rPr/>
      </w:pPr>
      <w:r>
        <w:rPr>
          <w:rFonts w:ascii="Times New Roman" w:hAnsi="Times New Roman"/>
          <w:color w:val="000000"/>
          <w:sz w:val="24"/>
          <w:u w:val="single"/>
        </w:rPr>
        <w:t xml:space="preserve">Non-Confidentiality of Tax Treatment and Tax Structure </w:t>
      </w:r>
      <w:r>
        <w:rPr>
          <w:rFonts w:ascii="Times New Roman" w:hAnsi="Times New Roman"/>
          <w:color w:val="000000"/>
          <w:sz w:val="24"/>
        </w:rPr>
        <w:t xml:space="preserve">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 transactions is not limited in any way by an express or implied understanding or agreement, oral or written (whether or not such understanding or agreement is legally binding).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14</w:t>
      </w:r>
    </w:p>
    <w:p>
      <w:pPr>
        <w:pStyle w:val="TextBody"/>
        <w:bidi w:val="0"/>
        <w:spacing w:before="0" w:after="240"/>
        <w:jc w:val="center"/>
        <w:rPr/>
      </w:pPr>
      <w:r>
        <w:rPr>
          <w:rFonts w:ascii="Times New Roman" w:hAnsi="Times New Roman"/>
          <w:b/>
          <w:color w:val="000000"/>
          <w:sz w:val="24"/>
        </w:rPr>
        <w:br/>
        <w:br/>
      </w:r>
      <w:r>
        <w:rPr>
          <w:rFonts w:ascii="Times New Roman" w:hAnsi="Times New Roman"/>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14.01.</w:t>
      </w:r>
    </w:p>
    <w:p>
      <w:pPr>
        <w:pStyle w:val="TextBody"/>
        <w:bidi w:val="0"/>
        <w:spacing w:before="0" w:after="240"/>
        <w:jc w:val="both"/>
        <w:rPr/>
      </w:pPr>
      <w:r>
        <w:rPr>
          <w:rFonts w:ascii="Times New Roman" w:hAnsi="Times New Roman"/>
          <w:color w:val="000000"/>
          <w:sz w:val="24"/>
          <w:u w:val="single"/>
        </w:rPr>
        <w:t xml:space="preserve">Amendments and Waivers </w:t>
      </w:r>
      <w:r>
        <w:rPr>
          <w:rFonts w:ascii="Times New Roman" w:hAnsi="Times New Roman"/>
          <w:color w:val="000000"/>
          <w:sz w:val="24"/>
        </w:rPr>
        <w:t xml:space="preserve">No failure or delay by the Administrative Agent or a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each Lender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14.01(b), and then such waiver or consent shall be effective only in the specific instance and for the purpose for which given. Without limiting the generality of the foregoing, the making of a Loan shall not be construed as a waiver of any Termination Event or Unmatured Termination Event, regardless of whether the Administrative Agent or any Lender may have had notice or knowledge of such Termination Event or Unmatured Termination Event at the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this Agreement nor any provision hereof may be amended or modified except pursuant to an agreement or agreements in writing entered into by the Borrower and the Administrative Agent; provided, that no such agreement shall, without the written consent of: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Required Lenders, (1) amend any provision of Section 2.08, (2) amend any provision of Schedule B or (3) reduce the principal or the rate of Interest on any Loans Outstanding or any fees or other amounts payable hereunder or under any other Basic Documents,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Lenders, (1) change any provision of this Section or the definitions of “Required Lenders”, “Commitment Termination Event”,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“Annualized Default Ratio”, “Annualized Net Loss Ratio”, “Borrowing Base”, “Concentration Limits”, “Delinquency Ratio”, “UACC Excess Spread Percentage”, “Vroom Excess Spread Percentage”, “Extension Ratio”, "Final Maturity Date", “Overcollateralization Increase Events”, “Reserve Account Required Amount”, “Serviced Portfolio Annualized Default Ratio, “Serviced Portfolio Annualized Net Loss Ratio”, “Serviced Portfolio Delinquency Ratio”, “Serviced Portfolio Extension Ratio” or any provision of this Agreement that uses any of the foregoing terms;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further, that no such agreement shall amend, modify or otherwise affect the rights, protections or duties of the Servicer, the Custodian, the Backup Servicer, the Owner Trustee, the Account Bank or any Hedge Counterparty hereunder without the prior written consent of the Servicer, the Custodian, the Backup Servicer, the Owner Trustee, the Account Bank or any Hedge Counterparty,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(ii) the Servicer, the Custodian, the Backup Servicer, the Owner Trustee, the Account Bank or any Hedge Counterparty, waive its respective rights, protections or duties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the Backup Servicer, the Account Bank or any Hedge Counterparty will not affect the rights, protections or duties of each such party. The Borrower shall provide a copy of each executed amendment, waiver or other modification to the Servicer, the Custodian, the Backup Servicer, the Account Bank and each Hedge Counterparty.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14.02.</w:t>
      </w:r>
    </w:p>
    <w:p>
      <w:pPr>
        <w:pStyle w:val="TextBody"/>
        <w:bidi w:val="0"/>
        <w:spacing w:before="0" w:after="240"/>
        <w:jc w:val="both"/>
        <w:rPr/>
      </w:pPr>
      <w:r>
        <w:rPr>
          <w:rFonts w:ascii="Times New Roman" w:hAnsi="Times New Roman"/>
          <w:color w:val="000000"/>
          <w:sz w:val="24"/>
          <w:u w:val="single"/>
        </w:rPr>
        <w:t xml:space="preserve">Notices, Etc. </w:t>
      </w:r>
      <w:r>
        <w:rPr>
          <w:rFonts w:ascii="Times New Roman" w:hAnsi="Times New Roman"/>
          <w:color w:val="000000"/>
          <w:sz w:val="24"/>
        </w:rPr>
        <w:t xml:space="preserve">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case of notice by (i) mail, [***] days after being deposited in the United States mail, first class postage prepaid, (ii) telex, when telexed against receipt of answer back, (iii) facsimile copy, when verbal communication of receipt is obtained or (iv) e-mail, when receipt is confirmed by telephone or by reply e-mail from the recipient, except that notices and communications pursuant to Article Two shall not be effective until received with respect to any notice sent by mail or telex.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14.03.</w:t>
      </w:r>
    </w:p>
    <w:p>
      <w:pPr>
        <w:pStyle w:val="TextBody"/>
        <w:bidi w:val="0"/>
        <w:spacing w:before="0" w:after="240"/>
        <w:jc w:val="both"/>
        <w:rPr/>
      </w:pPr>
      <w:r>
        <w:rPr>
          <w:rFonts w:ascii="Times New Roman" w:hAnsi="Times New Roman"/>
          <w:color w:val="000000"/>
          <w:sz w:val="24"/>
          <w:u w:val="single"/>
        </w:rPr>
        <w:t xml:space="preserve">No Waiver, Rights and Remedies </w:t>
      </w:r>
      <w:r>
        <w:rPr>
          <w:rFonts w:ascii="Times New Roman" w:hAnsi="Times New Roman"/>
          <w:color w:val="000000"/>
          <w:sz w:val="24"/>
        </w:rPr>
        <w:t>No failure on the part of the Administrative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14.04.</w:t>
      </w:r>
    </w:p>
    <w:p>
      <w:pPr>
        <w:pStyle w:val="TextBody"/>
        <w:bidi w:val="0"/>
        <w:spacing w:before="0" w:after="240"/>
        <w:jc w:val="both"/>
        <w:rPr/>
      </w:pPr>
      <w:r>
        <w:rPr>
          <w:rFonts w:ascii="Times New Roman" w:hAnsi="Times New Roman"/>
          <w:color w:val="000000"/>
          <w:sz w:val="24"/>
          <w:u w:val="single"/>
        </w:rPr>
        <w:t xml:space="preserve">Binding Effect </w:t>
      </w:r>
      <w:r>
        <w:rPr>
          <w:rFonts w:ascii="Times New Roman" w:hAnsi="Times New Roman"/>
          <w:color w:val="000000"/>
          <w:sz w:val="24"/>
        </w:rPr>
        <w:t>This Agreement shall be binding upon and inure to the benefit of the Borrower, the Servicer, the Backup Servicer, the Owner Trustee, the Account Bank, the Custodian, the Administrative Agent, the Secured Parties and their respective successors and permitted assigns and each Hedge Counterparty shall be an express third-party beneficiary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14.05.</w:t>
      </w:r>
    </w:p>
    <w:p>
      <w:pPr>
        <w:pStyle w:val="TextBody"/>
        <w:bidi w:val="0"/>
        <w:spacing w:before="0" w:after="240"/>
        <w:jc w:val="both"/>
        <w:rPr/>
      </w:pPr>
      <w:r>
        <w:rPr>
          <w:rFonts w:ascii="Times New Roman" w:hAnsi="Times New Roman"/>
          <w:color w:val="000000"/>
          <w:sz w:val="24"/>
          <w:u w:val="single"/>
        </w:rPr>
        <w:t xml:space="preserve">Term of this Agreement </w:t>
      </w:r>
      <w:r>
        <w:rPr>
          <w:rFonts w:ascii="Times New Roman" w:hAnsi="Times New Roman"/>
          <w:color w:val="000000"/>
          <w:sz w:val="24"/>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14.06.</w:t>
      </w:r>
    </w:p>
    <w:p>
      <w:pPr>
        <w:pStyle w:val="TextBody"/>
        <w:bidi w:val="0"/>
        <w:spacing w:before="0" w:after="240"/>
        <w:jc w:val="both"/>
        <w:rPr/>
      </w:pPr>
      <w:r>
        <w:rPr>
          <w:rFonts w:ascii="Times New Roman" w:hAnsi="Times New Roman"/>
          <w:b/>
          <w:color w:val="000000"/>
          <w:sz w:val="24"/>
          <w:u w:val="single"/>
        </w:rPr>
        <w:t>GOVERNING LAW; CONSENT TO JURISDICTION; WAIVER OF OBJECTION TO VENUE</w:t>
      </w:r>
      <w:r>
        <w:rPr>
          <w:rFonts w:ascii="Times New Roman" w:hAnsi="Times New Roman"/>
          <w:b/>
          <w:color w:val="000000"/>
          <w:sz w:val="24"/>
        </w:rPr>
        <w:t>THIS AGREEMENT SHALL BE GOVERNED BY, AND CONSTRUED IN ACCORDANCE WITH, THE LAWS OF THE STATE OF NEW YORK WITHOUT REFERENCE TO ITS CONFLICTS OF LAW PROVISIONS (OTHER THAN § 5</w:t>
        <w:noBreakHyphen/>
        <w:t>1401 AND § 5</w:t>
        <w:noBreakHyphen/>
        <w:t xml:space="preserve">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HEREUNDER IN ANY OF THE AFOREMENTIONED COURTS AND CONSENTS TO THE GRANTING OF SUCH LEGAL OR EQUITABLE RELIEF AS IS DEEMED APPROPRIATE BY SUCH COURT.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14.07.</w:t>
      </w:r>
    </w:p>
    <w:p>
      <w:pPr>
        <w:pStyle w:val="TextBody"/>
        <w:bidi w:val="0"/>
        <w:spacing w:before="0" w:after="240"/>
        <w:jc w:val="both"/>
        <w:rPr/>
      </w:pPr>
      <w:r>
        <w:rPr>
          <w:rFonts w:ascii="Times New Roman" w:hAnsi="Times New Roman"/>
          <w:b/>
          <w:color w:val="000000"/>
          <w:sz w:val="24"/>
          <w:u w:val="single"/>
        </w:rPr>
        <w:t>WAIVER OF JURY TRIAL</w:t>
      </w:r>
      <w:r>
        <w:rPr>
          <w:rFonts w:ascii="Times New Roman" w:hAnsi="Times New Roman"/>
          <w:b/>
          <w:color w:val="000000"/>
          <w:sz w:val="24"/>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14.08.</w:t>
      </w:r>
    </w:p>
    <w:p>
      <w:pPr>
        <w:pStyle w:val="TextBody"/>
        <w:bidi w:val="0"/>
        <w:spacing w:before="0" w:after="240"/>
        <w:jc w:val="both"/>
        <w:rPr/>
      </w:pPr>
      <w:r>
        <w:rPr>
          <w:rFonts w:ascii="Times New Roman" w:hAnsi="Times New Roman"/>
          <w:color w:val="000000"/>
          <w:sz w:val="24"/>
          <w:u w:val="single"/>
        </w:rPr>
        <w:t>Costs and Expenses</w:t>
      </w:r>
      <w:r>
        <w:rPr>
          <w:rFonts w:ascii="Times New Roman" w:hAnsi="Times New Roman"/>
          <w:color w:val="000000"/>
          <w:sz w:val="24"/>
        </w:rPr>
        <w:t>. In addition to the rights of indemnification granted to the Administrative Agent, the Backup Servicer, the Account Bank, the Secured Parties and its or their Affiliates and officers, directors, employees and agents thereof under Article Ten, the Borrower agrees to pay on demand all reasonable costs and expenses of the Administrative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any agreed upon cap between the Borrower and the Administrative Agent, the reasonable fees and out-of-pocket expenses of counsel for the Backup Servicer, the Account Bank, the Administrative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14.09.</w:t>
      </w:r>
    </w:p>
    <w:p>
      <w:pPr>
        <w:pStyle w:val="TextBody"/>
        <w:bidi w:val="0"/>
        <w:spacing w:before="0" w:after="240"/>
        <w:jc w:val="both"/>
        <w:rPr/>
      </w:pPr>
      <w:r>
        <w:rPr>
          <w:rFonts w:ascii="Times New Roman" w:hAnsi="Times New Roman"/>
          <w:color w:val="000000"/>
          <w:sz w:val="24"/>
          <w:u w:val="single"/>
        </w:rPr>
        <w:t xml:space="preserve">No Insolvency Proceedings </w:t>
      </w:r>
      <w:r>
        <w:rPr>
          <w:rFonts w:ascii="Times New Roman" w:hAnsi="Times New Roman"/>
          <w:color w:val="000000"/>
          <w:sz w:val="24"/>
        </w:rPr>
        <w:t xml:space="preserve">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official of the Borrower or any substantial part of its property or ordering the winding up or liquidation of the affairs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14.10.</w:t>
      </w:r>
    </w:p>
    <w:p>
      <w:pPr>
        <w:pStyle w:val="TextBody"/>
        <w:bidi w:val="0"/>
        <w:spacing w:before="0" w:after="240"/>
        <w:jc w:val="both"/>
        <w:rPr/>
      </w:pPr>
      <w:r>
        <w:rPr>
          <w:rFonts w:ascii="Times New Roman" w:hAnsi="Times New Roman"/>
          <w:color w:val="000000"/>
          <w:sz w:val="24"/>
          <w:u w:val="single"/>
        </w:rPr>
        <w:t xml:space="preserve">Recourse Against Certain Parties </w:t>
      </w:r>
      <w:r>
        <w:rPr>
          <w:rFonts w:ascii="Times New Roman" w:hAnsi="Times New Roman"/>
          <w:color w:val="000000"/>
          <w:sz w:val="24"/>
        </w:rPr>
        <w:t>No recourse under or with respect to any obligation, covenant or agreement (including the payment of any fees or any other obligations) of the Administrative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shall survive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14.11.</w:t>
      </w:r>
    </w:p>
    <w:p>
      <w:pPr>
        <w:pStyle w:val="TextBody"/>
        <w:bidi w:val="0"/>
        <w:spacing w:before="0" w:after="240"/>
        <w:jc w:val="both"/>
        <w:rPr/>
      </w:pPr>
      <w:r>
        <w:rPr>
          <w:rFonts w:ascii="Times New Roman" w:hAnsi="Times New Roman"/>
          <w:color w:val="000000"/>
          <w:sz w:val="24"/>
          <w:u w:val="single"/>
        </w:rPr>
        <w:t xml:space="preserve">Limitations on Consequential, Indirect and Certain Other Damages </w:t>
      </w:r>
      <w:r>
        <w:rPr>
          <w:rFonts w:ascii="Times New Roman" w:hAnsi="Times New Roman"/>
          <w:color w:val="000000"/>
          <w:sz w:val="24"/>
        </w:rPr>
        <w:t xml:space="preserve">No claim can be made by the Borrower, UACC or any of their respective Affiliates against the Administrative Agent,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to bring any such claim for any such damages, whether or not accrued and whether or not known or suspected to exist in its favor.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14.12.</w:t>
      </w:r>
    </w:p>
    <w:p>
      <w:pPr>
        <w:pStyle w:val="TextBody"/>
        <w:bidi w:val="0"/>
        <w:spacing w:before="0" w:after="240"/>
        <w:jc w:val="both"/>
        <w:rPr/>
      </w:pPr>
      <w:r>
        <w:rPr>
          <w:rFonts w:ascii="Times New Roman" w:hAnsi="Times New Roman"/>
          <w:color w:val="000000"/>
          <w:sz w:val="24"/>
          <w:u w:val="single"/>
        </w:rPr>
        <w:t xml:space="preserve">AML Law Compliance </w:t>
      </w:r>
      <w:r>
        <w:rPr>
          <w:rFonts w:ascii="Times New Roman" w:hAnsi="Times New Roman"/>
          <w:color w:val="000000"/>
          <w:sz w:val="24"/>
        </w:rPr>
        <w:t xml:space="preserve">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w:t>
      </w:r>
      <w:r>
        <w:rPr>
          <w:color w:val="000000"/>
        </w:rPr>
        <w:t>“</w:t>
      </w:r>
      <w:r>
        <w:rPr>
          <w:rFonts w:ascii="Times New Roman" w:hAnsi="Times New Roman"/>
          <w:i/>
          <w:color w:val="000000"/>
          <w:sz w:val="24"/>
        </w:rPr>
        <w:t>AML Law”</w:t>
      </w:r>
      <w:r>
        <w:rPr>
          <w:rFonts w:ascii="Times New Roman" w:hAnsi="Times New Roman"/>
          <w:color w:val="000000"/>
          <w:sz w:val="24"/>
        </w:rPr>
        <w:t>), each of the Account Bank and Backup Servicer is required to obtain, verify, and record information relating to individuals and entities that establish a business relationship or open an account with the Account Bank or Backup Servicer. Each party hereby agrees that it shall provide the Account Bank and Backup Servicer with such identifying information and documentation as they may request from time to time in order to enable them to comply with all applicable requirements of AML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14.13.</w:t>
      </w:r>
    </w:p>
    <w:p>
      <w:pPr>
        <w:pStyle w:val="TextBody"/>
        <w:bidi w:val="0"/>
        <w:spacing w:before="0" w:after="240"/>
        <w:jc w:val="both"/>
        <w:rPr/>
      </w:pPr>
      <w:r>
        <w:rPr>
          <w:rFonts w:ascii="Times New Roman" w:hAnsi="Times New Roman"/>
          <w:color w:val="000000"/>
          <w:sz w:val="24"/>
          <w:u w:val="single"/>
        </w:rPr>
        <w:t xml:space="preserve">Execution in Counterparts; Severability; Integration </w:t>
      </w:r>
      <w:r>
        <w:rPr>
          <w:rFonts w:ascii="Times New Roman" w:hAnsi="Times New Roman"/>
          <w:color w:val="000000"/>
          <w:sz w:val="24"/>
        </w:rPr>
        <w:t xml:space="preserve">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color w:val="000000"/>
        </w:rPr>
        <w:t>“</w:t>
      </w:r>
      <w:r>
        <w:rPr>
          <w:rFonts w:ascii="Times New Roman" w:hAnsi="Times New Roman"/>
          <w:i/>
          <w:color w:val="000000"/>
          <w:sz w:val="24"/>
        </w:rPr>
        <w:t>Signature Law”</w:t>
      </w:r>
      <w:r>
        <w:rPr>
          <w:rFonts w:ascii="Times New Roman" w:hAnsi="Times New Roman"/>
          <w:color w:val="000000"/>
          <w:sz w:val="24"/>
        </w:rPr>
        <w:t xml:space="preserve">);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the Uniform Commercial Code or other Signature Law due to the character or intended character of the writings.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14.14.</w:t>
      </w:r>
    </w:p>
    <w:p>
      <w:pPr>
        <w:pStyle w:val="TextBody"/>
        <w:bidi w:val="0"/>
        <w:spacing w:before="0" w:after="240"/>
        <w:jc w:val="both"/>
        <w:rPr/>
      </w:pPr>
      <w:r>
        <w:rPr>
          <w:rFonts w:ascii="Times New Roman" w:hAnsi="Times New Roman"/>
          <w:color w:val="000000"/>
          <w:sz w:val="24"/>
          <w:u w:val="single"/>
        </w:rPr>
        <w:t xml:space="preserve">Limitation of Liability of Owner Trustee </w:t>
      </w:r>
      <w:r>
        <w:rPr>
          <w:rFonts w:ascii="Times New Roman" w:hAnsi="Times New Roman"/>
          <w:color w:val="000000"/>
          <w:sz w:val="24"/>
        </w:rPr>
        <w:t>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undertakings and agreements herein made on the part of the Borrower is made and intended not as personal representations,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 the parties hereto and by any Person claiming by, through or under the parties hereto, (iv) [***],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representation, warranty or covenant made or undertaken by the Borrower under this Agreement or any other Basic Document.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by their respective officers thereunto duly authorized, as of the date first above written.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62" w:type="dxa"/>
        <w:jc w:val="left"/>
        <w:tblInd w:w="0" w:type="dxa"/>
        <w:tblLayout w:type="fixed"/>
        <w:tblCellMar>
          <w:top w:w="28" w:type="dxa"/>
          <w:left w:w="28" w:type="dxa"/>
          <w:bottom w:w="28" w:type="dxa"/>
          <w:right w:w="28" w:type="dxa"/>
        </w:tblCellMar>
      </w:tblPr>
      <w:tblGrid>
        <w:gridCol w:w="2206"/>
        <w:gridCol w:w="6556"/>
      </w:tblGrid>
      <w:tr>
        <w:trPr/>
        <w:tc>
          <w:tcPr>
            <w:tcW w:w="2206"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BORROWER:</w:t>
            </w:r>
          </w:p>
        </w:tc>
        <w:tc>
          <w:tcPr>
            <w:tcW w:w="65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UACC AUTO FINANCING TRUST V</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b/>
                <w:color w:val="000000"/>
                <w:sz w:val="24"/>
              </w:rPr>
              <w:t>[***]</w:t>
            </w:r>
            <w:r>
              <w:rPr>
                <w:rFonts w:ascii="Times New Roman" w:hAnsi="Times New Roman"/>
                <w:color w:val="000000"/>
                <w:sz w:val="24"/>
              </w:rPr>
              <w:t>, not in its individual capacity but solely as Owner Trustee</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b/>
                <w:color w:val="000000"/>
                <w:sz w:val="24"/>
              </w:rPr>
              <w:t>[***]</w:t>
            </w:r>
            <w:r>
              <w:rPr>
                <w:rFonts w:ascii="Times New Roman" w:hAnsi="Times New Roman"/>
                <w:color w:val="000000"/>
                <w:sz w:val="24"/>
              </w:rPr>
              <w:t>, as its attorney-in-fact</w:t>
            </w:r>
          </w:p>
          <w:p>
            <w:pPr>
              <w:pStyle w:val="TableContents"/>
              <w:bidi w:val="0"/>
              <w:spacing w:before="48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w:t>
            </w:r>
            <w:r>
              <w:rPr>
                <w:rFonts w:ascii="Times New Roman" w:hAnsi="Times New Roman"/>
                <w:b/>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b/>
                <w:color w:val="000000"/>
                <w:sz w:val="24"/>
              </w:rPr>
              <w:t>[***]</w:t>
            </w:r>
            <w:r>
              <w:rPr>
                <w:rFonts w:ascii="Times New Roman" w:hAnsi="Times New Roman"/>
                <w:color w:val="000000"/>
                <w:sz w:val="24"/>
              </w:rPr>
              <w:br/>
              <w:t xml:space="preserve">Title: </w:t>
            </w:r>
            <w:r>
              <w:rPr>
                <w:rFonts w:ascii="Times New Roman" w:hAnsi="Times New Roman"/>
                <w:b/>
                <w:color w:val="000000"/>
                <w:sz w:val="24"/>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spacing w:before="0" w:after="480"/>
              <w:jc w:val="left"/>
              <w:rPr>
                <w:rFonts w:ascii="Times New Roman" w:hAnsi="Times New Roman"/>
                <w:sz w:val="24"/>
              </w:rPr>
            </w:pPr>
            <w:r>
              <w:rPr>
                <w:rFonts w:ascii="Times New Roman" w:hAnsi="Times New Roman"/>
                <w:color w:val="000000"/>
                <w:sz w:val="24"/>
              </w:rPr>
              <w:t>UACC Auto Financing Trust V</w:t>
              <w:br/>
              <w:t xml:space="preserve">c/o </w:t>
            </w:r>
            <w:r>
              <w:rPr>
                <w:rFonts w:ascii="Times New Roman" w:hAnsi="Times New Roman"/>
                <w:b/>
                <w:color w:val="000000"/>
                <w:sz w:val="24"/>
              </w:rPr>
              <w:t>[***]</w:t>
            </w:r>
          </w:p>
          <w:p>
            <w:pPr>
              <w:pStyle w:val="TableContents"/>
              <w:bidi w:val="0"/>
              <w:spacing w:before="0" w:after="480"/>
              <w:jc w:val="left"/>
              <w:rPr>
                <w:rFonts w:ascii="Times New Roman" w:hAnsi="Times New Roman"/>
                <w:sz w:val="24"/>
              </w:rPr>
            </w:pPr>
            <w:r>
              <w:rPr>
                <w:rFonts w:ascii="Times New Roman" w:hAnsi="Times New Roman"/>
                <w:color w:val="000000"/>
                <w:sz w:val="24"/>
              </w:rPr>
              <w:br/>
              <w:t xml:space="preserve">With a copy to: </w:t>
              <w:br/>
              <w:t>United Auto Credit Corporation</w:t>
              <w:br/>
              <w:t>1071 Camelback Street</w:t>
              <w:br/>
              <w:t>Newport Beach, California 92660</w:t>
              <w:br/>
              <w:t xml:space="preserve">Attention: </w:t>
            </w:r>
            <w:r>
              <w:rPr>
                <w:rFonts w:ascii="Times New Roman" w:hAnsi="Times New Roman"/>
                <w:b/>
                <w:color w:val="000000"/>
                <w:sz w:val="24"/>
              </w:rPr>
              <w:t>[***]</w:t>
            </w:r>
            <w:r>
              <w:rPr>
                <w:rFonts w:ascii="Times New Roman" w:hAnsi="Times New Roman"/>
                <w:color w:val="000000"/>
                <w:sz w:val="24"/>
              </w:rPr>
              <w:br/>
              <w:t xml:space="preserve">Telephone No.: </w:t>
            </w:r>
            <w:r>
              <w:rPr>
                <w:rFonts w:ascii="Times New Roman" w:hAnsi="Times New Roman"/>
                <w:b/>
                <w:color w:val="000000"/>
                <w:sz w:val="24"/>
              </w:rPr>
              <w:t>[***]</w:t>
            </w:r>
            <w:r>
              <w:rPr>
                <w:rFonts w:ascii="Times New Roman" w:hAnsi="Times New Roman"/>
                <w:color w:val="000000"/>
                <w:sz w:val="24"/>
              </w:rPr>
              <w:br/>
              <w:t xml:space="preserve">Facsimile No.: </w:t>
            </w:r>
            <w:r>
              <w:rPr>
                <w:rFonts w:ascii="Times New Roman" w:hAnsi="Times New Roman"/>
                <w:b/>
                <w:color w:val="000000"/>
                <w:sz w:val="24"/>
              </w:rPr>
              <w:t>[***]</w:t>
            </w:r>
            <w:r>
              <w:rPr>
                <w:rFonts w:ascii="Times New Roman" w:hAnsi="Times New Roman"/>
                <w:color w:val="000000"/>
                <w:sz w:val="24"/>
              </w:rPr>
              <w:br/>
              <w:t xml:space="preserve">E-mail: </w:t>
            </w:r>
            <w:r>
              <w:rPr>
                <w:rFonts w:ascii="Times New Roman" w:hAnsi="Times New Roman"/>
                <w:b/>
                <w:color w:val="000000"/>
                <w:sz w:val="24"/>
              </w:rPr>
              <w:t>[***]</w:t>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SERVICER</w:t>
              <w:br/>
              <w:t>AND CUSTODIAN:</w:t>
            </w:r>
          </w:p>
        </w:tc>
        <w:tc>
          <w:tcPr>
            <w:tcW w:w="65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w:t>
            </w:r>
            <w:r>
              <w:rPr>
                <w:rFonts w:ascii="Times New Roman" w:hAnsi="Times New Roman"/>
                <w:b/>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b/>
                <w:color w:val="000000"/>
                <w:sz w:val="24"/>
              </w:rPr>
              <w:t>[***]</w:t>
            </w:r>
            <w:r>
              <w:rPr>
                <w:rFonts w:ascii="Times New Roman" w:hAnsi="Times New Roman"/>
                <w:color w:val="000000"/>
                <w:sz w:val="24"/>
              </w:rPr>
              <w:br/>
              <w:t xml:space="preserve">Title: </w:t>
            </w:r>
            <w:r>
              <w:rPr>
                <w:rFonts w:ascii="Times New Roman" w:hAnsi="Times New Roman"/>
                <w:b/>
                <w:color w:val="000000"/>
                <w:sz w:val="24"/>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br/>
              <w:t>1071 Camelback Street</w:t>
            </w:r>
          </w:p>
          <w:p>
            <w:pPr>
              <w:pStyle w:val="TableContents"/>
              <w:bidi w:val="0"/>
              <w:spacing w:before="0" w:after="480"/>
              <w:jc w:val="left"/>
              <w:rPr>
                <w:rFonts w:ascii="Times New Roman" w:hAnsi="Times New Roman"/>
                <w:sz w:val="24"/>
              </w:rPr>
            </w:pPr>
            <w:r>
              <w:rPr>
                <w:rFonts w:ascii="Times New Roman" w:hAnsi="Times New Roman"/>
                <w:color w:val="000000"/>
                <w:sz w:val="24"/>
              </w:rPr>
              <w:t>Newport Beach, California 92660</w:t>
              <w:br/>
              <w:t xml:space="preserve">Attention: </w:t>
            </w:r>
            <w:r>
              <w:rPr>
                <w:rFonts w:ascii="Times New Roman" w:hAnsi="Times New Roman"/>
                <w:b/>
                <w:color w:val="000000"/>
                <w:sz w:val="24"/>
              </w:rPr>
              <w:t>[***]</w:t>
            </w:r>
            <w:r>
              <w:rPr>
                <w:rFonts w:ascii="Times New Roman" w:hAnsi="Times New Roman"/>
                <w:color w:val="000000"/>
                <w:sz w:val="24"/>
              </w:rPr>
              <w:br/>
              <w:t xml:space="preserve">Telephone No.: </w:t>
            </w:r>
            <w:r>
              <w:rPr>
                <w:rFonts w:ascii="Times New Roman" w:hAnsi="Times New Roman"/>
                <w:b/>
                <w:color w:val="000000"/>
                <w:sz w:val="24"/>
              </w:rPr>
              <w:t>[***]</w:t>
            </w:r>
            <w:r>
              <w:rPr>
                <w:rFonts w:ascii="Times New Roman" w:hAnsi="Times New Roman"/>
                <w:color w:val="000000"/>
                <w:sz w:val="24"/>
              </w:rPr>
              <w:br/>
              <w:t xml:space="preserve">Facsimile No.: </w:t>
            </w:r>
            <w:r>
              <w:rPr>
                <w:rFonts w:ascii="Times New Roman" w:hAnsi="Times New Roman"/>
                <w:b/>
                <w:color w:val="000000"/>
                <w:sz w:val="24"/>
              </w:rPr>
              <w:t>[***]</w:t>
            </w:r>
            <w:r>
              <w:rPr>
                <w:rFonts w:ascii="Times New Roman" w:hAnsi="Times New Roman"/>
                <w:color w:val="000000"/>
                <w:sz w:val="24"/>
              </w:rPr>
              <w:br/>
              <w:t xml:space="preserve">E-mail: </w:t>
            </w:r>
            <w:r>
              <w:rPr>
                <w:rFonts w:ascii="Times New Roman" w:hAnsi="Times New Roman"/>
                <w:b/>
                <w:color w:val="000000"/>
                <w:sz w:val="24"/>
              </w:rPr>
              <w:t>[***]</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5596"/>
        <w:gridCol w:w="4456"/>
      </w:tblGrid>
      <w:tr>
        <w:trPr/>
        <w:tc>
          <w:tcPr>
            <w:tcW w:w="5596"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40"/>
              <w:jc w:val="left"/>
              <w:rPr/>
            </w:pPr>
            <w:r>
              <w:rPr/>
              <w:t> </w:t>
            </w:r>
          </w:p>
        </w:tc>
        <w:tc>
          <w:tcPr>
            <w:tcW w:w="4456" w:type="dxa"/>
            <w:tcBorders/>
            <w:tcMar>
              <w:top w:w="0" w:type="dxa"/>
              <w:left w:w="0" w:type="dxa"/>
              <w:bottom w:w="0" w:type="dxa"/>
              <w:right w:w="0" w:type="dxa"/>
            </w:tcMar>
            <w:vAlign w:val="center"/>
          </w:tcPr>
          <w:p>
            <w:pPr>
              <w:pStyle w:val="TableContents"/>
              <w:bidi w:val="0"/>
              <w:spacing w:before="0" w:after="480"/>
              <w:jc w:val="left"/>
              <w:rPr/>
            </w:pPr>
            <w:r>
              <w:rPr/>
              <w:t> </w:t>
            </w:r>
          </w:p>
        </w:tc>
      </w:tr>
      <w:tr>
        <w:trPr/>
        <w:tc>
          <w:tcPr>
            <w:tcW w:w="559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BACKUP SERVICER AND ACCOUNT BANK:</w:t>
            </w:r>
          </w:p>
        </w:tc>
        <w:tc>
          <w:tcPr>
            <w:tcW w:w="445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 as Backup Servicer and Account Bank</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b/>
                <w:color w:val="000000"/>
                <w:sz w:val="24"/>
              </w:rPr>
              <w:t>[***]</w:t>
            </w:r>
            <w:r>
              <w:rPr>
                <w:rFonts w:ascii="Times New Roman" w:hAnsi="Times New Roman"/>
                <w:color w:val="000000"/>
                <w:sz w:val="24"/>
              </w:rPr>
              <w:t>, as its attorney-in-fact</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w:t>
            </w:r>
            <w:r>
              <w:rPr>
                <w:rFonts w:ascii="Times New Roman" w:hAnsi="Times New Roman"/>
                <w:b/>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b/>
                <w:color w:val="000000"/>
                <w:sz w:val="24"/>
              </w:rPr>
              <w:t>[***]</w:t>
            </w:r>
            <w:r>
              <w:rPr>
                <w:rFonts w:ascii="Times New Roman" w:hAnsi="Times New Roman"/>
                <w:color w:val="000000"/>
                <w:sz w:val="24"/>
              </w:rPr>
              <w:br/>
              <w:t xml:space="preserve">Title: </w:t>
            </w:r>
            <w:r>
              <w:rPr>
                <w:rFonts w:ascii="Times New Roman" w:hAnsi="Times New Roman"/>
                <w:b/>
                <w:color w:val="000000"/>
                <w:sz w:val="24"/>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t>
            </w:r>
          </w:p>
        </w:tc>
      </w:tr>
      <w:tr>
        <w:trPr/>
        <w:tc>
          <w:tcPr>
            <w:tcW w:w="5596" w:type="dxa"/>
            <w:tcBorders/>
            <w:tcMar>
              <w:top w:w="0" w:type="dxa"/>
              <w:left w:w="0" w:type="dxa"/>
              <w:bottom w:w="0" w:type="dxa"/>
              <w:right w:w="0" w:type="dxa"/>
            </w:tcMar>
            <w:vAlign w:val="center"/>
          </w:tcPr>
          <w:p>
            <w:pPr>
              <w:pStyle w:val="TableContents"/>
              <w:bidi w:val="0"/>
              <w:spacing w:before="0" w:after="240"/>
              <w:jc w:val="left"/>
              <w:rPr/>
            </w:pPr>
            <w:r>
              <w:rPr/>
              <w:t> </w:t>
            </w:r>
          </w:p>
        </w:tc>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52" w:type="dxa"/>
        <w:jc w:val="left"/>
        <w:tblInd w:w="0" w:type="dxa"/>
        <w:tblLayout w:type="fixed"/>
        <w:tblCellMar>
          <w:top w:w="28" w:type="dxa"/>
          <w:left w:w="28" w:type="dxa"/>
          <w:bottom w:w="28" w:type="dxa"/>
          <w:right w:w="28" w:type="dxa"/>
        </w:tblCellMar>
      </w:tblPr>
      <w:tblGrid>
        <w:gridCol w:w="3706"/>
        <w:gridCol w:w="3646"/>
      </w:tblGrid>
      <w:tr>
        <w:trPr/>
        <w:tc>
          <w:tcPr>
            <w:tcW w:w="37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ADMINISTRATIVE AGENT:</w:t>
            </w:r>
          </w:p>
        </w:tc>
        <w:tc>
          <w:tcPr>
            <w:tcW w:w="36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as Administrative Agent</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w:t>
            </w:r>
            <w:r>
              <w:rPr>
                <w:rFonts w:ascii="Times New Roman" w:hAnsi="Times New Roman"/>
                <w:b/>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b/>
                <w:color w:val="000000"/>
                <w:sz w:val="24"/>
              </w:rPr>
              <w:t>[***]</w:t>
            </w:r>
            <w:r>
              <w:rPr>
                <w:rFonts w:ascii="Times New Roman" w:hAnsi="Times New Roman"/>
                <w:color w:val="000000"/>
                <w:sz w:val="24"/>
              </w:rPr>
              <w:br/>
              <w:t xml:space="preserve">Title: </w:t>
            </w:r>
            <w:r>
              <w:rPr>
                <w:rFonts w:ascii="Times New Roman" w:hAnsi="Times New Roman"/>
                <w:b/>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Address for Notices:</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Ref: UACC Auto Financing Trust V</w:t>
              <w:br/>
              <w:t> </w:t>
            </w:r>
          </w:p>
          <w:p>
            <w:pPr>
              <w:pStyle w:val="TableContents"/>
              <w:bidi w:val="0"/>
              <w:jc w:val="left"/>
              <w:rPr>
                <w:rFonts w:ascii="Times New Roman" w:hAnsi="Times New Roman"/>
                <w:color w:val="000000"/>
                <w:sz w:val="24"/>
              </w:rPr>
            </w:pPr>
            <w:r>
              <w:rPr>
                <w:rFonts w:ascii="Times New Roman" w:hAnsi="Times New Roman"/>
                <w:color w:val="000000"/>
                <w:sz w:val="24"/>
              </w:rPr>
              <w:t>w/copy to:</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Ref: UACC Auto Financing Trust V</w:t>
            </w:r>
          </w:p>
          <w:p>
            <w:pPr>
              <w:pStyle w:val="TableContents"/>
              <w:bidi w:val="0"/>
              <w:jc w:val="left"/>
              <w:rPr>
                <w:rFonts w:ascii="Times New Roman" w:hAnsi="Times New Roman"/>
                <w:sz w:val="24"/>
              </w:rPr>
            </w:pPr>
            <w:r>
              <w:rPr>
                <w:rFonts w:ascii="Times New Roman" w:hAnsi="Times New Roman"/>
                <w:color w:val="000000"/>
                <w:sz w:val="24"/>
              </w:rPr>
              <w:t xml:space="preserve">E-mail: </w:t>
            </w:r>
            <w:r>
              <w:rPr>
                <w:rFonts w:ascii="Times New Roman" w:hAnsi="Times New Roman"/>
                <w:b/>
                <w:color w:val="000000"/>
                <w:sz w:val="24"/>
              </w:rPr>
              <w:t>[***]</w:t>
            </w:r>
          </w:p>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40"/>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1291"/>
        <w:gridCol w:w="5056"/>
      </w:tblGrid>
      <w:tr>
        <w:trPr/>
        <w:tc>
          <w:tcPr>
            <w:tcW w:w="1291"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LENDERS:</w:t>
            </w:r>
          </w:p>
          <w:p>
            <w:pPr>
              <w:pStyle w:val="TableContents"/>
              <w:bidi w:val="0"/>
              <w:spacing w:before="0" w:after="240"/>
              <w:jc w:val="left"/>
              <w:rPr/>
            </w:pPr>
            <w:r>
              <w:rPr/>
              <w:t> </w:t>
            </w:r>
          </w:p>
          <w:p>
            <w:pPr>
              <w:pStyle w:val="TableContents"/>
              <w:bidi w:val="0"/>
              <w:spacing w:before="0" w:after="240"/>
              <w:jc w:val="left"/>
              <w:rPr/>
            </w:pPr>
            <w:r>
              <w:rPr/>
              <w:t> </w:t>
            </w:r>
          </w:p>
        </w:tc>
        <w:tc>
          <w:tcPr>
            <w:tcW w:w="50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pPr>
            <w:r>
              <w:rPr/>
              <w:t> </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w:t>
            </w:r>
            <w:r>
              <w:rPr>
                <w:rFonts w:ascii="Times New Roman" w:hAnsi="Times New Roman"/>
                <w:b/>
                <w:color w:val="000000"/>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b/>
                <w:color w:val="000000"/>
                <w:sz w:val="24"/>
              </w:rPr>
              <w:t>[***]</w:t>
            </w:r>
            <w:r>
              <w:rPr>
                <w:rFonts w:ascii="Times New Roman" w:hAnsi="Times New Roman"/>
                <w:color w:val="000000"/>
                <w:sz w:val="24"/>
              </w:rPr>
              <w:br/>
              <w:t xml:space="preserve">Title: </w:t>
            </w:r>
            <w:r>
              <w:rPr>
                <w:rFonts w:ascii="Times New Roman" w:hAnsi="Times New Roman"/>
                <w:b/>
                <w:color w:val="000000"/>
                <w:sz w:val="24"/>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Commitment: $150,000,000 (prior to 9/24/2022)</w:t>
              <w:br/>
              <w:t>                       $200,000,000 (on or after 9/24/2022)</w:t>
            </w:r>
          </w:p>
          <w:p>
            <w:pPr>
              <w:pStyle w:val="TableContents"/>
              <w:bidi w:val="0"/>
              <w:jc w:val="left"/>
              <w:rPr>
                <w:rFonts w:ascii="Times New Roman" w:hAnsi="Times New Roman"/>
                <w:color w:val="000000"/>
                <w:sz w:val="24"/>
              </w:rPr>
            </w:pPr>
            <w:r>
              <w:rPr>
                <w:rFonts w:ascii="Times New Roman" w:hAnsi="Times New Roman"/>
                <w:color w:val="000000"/>
                <w:sz w:val="24"/>
              </w:rPr>
              <w:br/>
              <w:t xml:space="preserve">Address for Notices: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w/copy to:</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jc w:val="left"/>
              <w:rPr>
                <w:rFonts w:ascii="Times New Roman" w:hAnsi="Times New Roman"/>
                <w:color w:val="000000"/>
                <w:sz w:val="24"/>
              </w:rPr>
            </w:pPr>
            <w:r>
              <w:rPr>
                <w:rFonts w:ascii="Times New Roman" w:hAnsi="Times New Roman"/>
                <w:color w:val="000000"/>
                <w:sz w:val="24"/>
              </w:rPr>
              <w:t>Ref: UACC Auto Financing Trust V</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E-mail: </w:t>
            </w:r>
            <w:r>
              <w:rPr>
                <w:rFonts w:ascii="Times New Roman" w:hAnsi="Times New Roman"/>
                <w:b/>
                <w:color w:val="000000"/>
                <w:sz w:val="24"/>
              </w:rPr>
              <w:t>[***]</w:t>
            </w:r>
          </w:p>
        </w:tc>
      </w:tr>
      <w:tr>
        <w:trPr/>
        <w:tc>
          <w:tcPr>
            <w:tcW w:w="1291" w:type="dxa"/>
            <w:tcBorders/>
            <w:tcMar>
              <w:top w:w="0" w:type="dxa"/>
              <w:left w:w="0" w:type="dxa"/>
              <w:bottom w:w="0" w:type="dxa"/>
              <w:right w:w="0" w:type="dxa"/>
            </w:tcMar>
            <w:vAlign w:val="center"/>
          </w:tcPr>
          <w:p>
            <w:pPr>
              <w:pStyle w:val="TableContents"/>
              <w:bidi w:val="0"/>
              <w:spacing w:before="0" w:after="240"/>
              <w:jc w:val="left"/>
              <w:rPr/>
            </w:pPr>
            <w:r>
              <w:rPr/>
              <w:t> </w:t>
            </w:r>
          </w:p>
        </w:tc>
        <w:tc>
          <w:tcPr>
            <w:tcW w:w="50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A</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REPRESENTATIONS AND WARRANTIES REGARDING SECURITY INTEREST</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as of the Closing Date and as of each Funding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creates a valid and continuing security interest (as defined in the applicable UCC) in all Receivables in favor of the Administrative Agent, which security interest is prior to all other Liens, and is enforceable as such against creditors of and purchasers from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taken all steps necessary to perfect its security interest against the Obligor in the property securing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constitute “tangible chattel paper” or “electronic chattel paper” within the meaning of the applicable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owns and has good and marketable title to the Receivables free and clear of any Lien (other than Permitted Liens), claim, or encumbrance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caused or will have caused, within [***]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Custodian has (x) in the case of Tangible Contract, in its possession or (y) in the case of an Electronic Contract, under its “control”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herewith describing the Receivables will contain a statement to the following effect: “A purchase of or security interest in any collateral described in this financing statement will violate the rights of the Program Agent.”</w:t>
      </w:r>
    </w:p>
    <w:p>
      <w:pPr>
        <w:pStyle w:val="TextBody"/>
        <w:bidi w:val="0"/>
        <w:spacing w:before="0" w:after="48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SA-148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4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ELIGIBLE RECEIVABLE CRITERIA</w:t>
      </w:r>
    </w:p>
    <w:p>
      <w:pPr>
        <w:pStyle w:val="TextBody"/>
        <w:bidi w:val="0"/>
        <w:spacing w:before="0" w:after="240"/>
        <w:jc w:val="both"/>
        <w:rPr>
          <w:rFonts w:ascii="Times New Roman" w:hAnsi="Times New Roman"/>
          <w:sz w:val="20"/>
        </w:rPr>
      </w:pPr>
      <w:r>
        <w:rPr>
          <w:rFonts w:ascii="Times New Roman" w:hAnsi="Times New Roman"/>
          <w:color w:val="000000"/>
          <w:sz w:val="24"/>
        </w:rPr>
        <w:t>An “Eligible Receivable” means, with respect to (i) all Receivables other than Acquired Portfolio Receivables, a Receivable as to which all of the following conditions are satisfied and (ii) all Acquired Portfolio Receivables, a Receivable as to which the Administrative Agent has approved the related sale and purchase agreement and all of the following conditions are satisfied excluding clauses (iii), (iv), (v), (vii), (viii), (ix), (xii), (xxx), (xxxiii), (xxxvii) and (xxxviii):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payable in Dollars in the United States and with respect to which, at the time of origination, the related Obligor provided as its most recent billing address an address located in the United States or one of its territories;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the related Obligor is not an Affiliate of the Originator, the U.S. government or any State or any agency, department or instrumentality of the U.S. government or any State or other government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with respect to which if the primary Obligor has a credit bureau score obtained from Fair-Isaacs Corporation, Experian, Equifax of TransUnion LLC, the score is at least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which had an original Principal Balance of not more than $</w:t>
      </w:r>
      <w:r>
        <w:rPr>
          <w:rFonts w:ascii="Times New Roman" w:hAnsi="Times New Roman"/>
          <w:b/>
          <w:color w:val="000000"/>
          <w:sz w:val="24"/>
        </w:rPr>
        <w:t xml:space="preserve">[***] </w:t>
      </w:r>
      <w:r>
        <w:rPr>
          <w:rFonts w:ascii="Times New Roman" w:hAnsi="Times New Roman"/>
          <w:color w:val="000000"/>
          <w:sz w:val="24"/>
        </w:rPr>
        <w:t xml:space="preserve">and the related Obligor of which is required to make payments to the Post Office Boxes or the Local Bank Account under the control of the Servicer;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which had a first Scheduled Payment due no more than </w:t>
      </w:r>
      <w:r>
        <w:rPr>
          <w:rFonts w:ascii="Times New Roman" w:hAnsi="Times New Roman"/>
          <w:b/>
          <w:color w:val="000000"/>
          <w:sz w:val="24"/>
        </w:rPr>
        <w:t xml:space="preserve">[***] </w:t>
      </w:r>
      <w:r>
        <w:rPr>
          <w:rFonts w:ascii="Times New Roman" w:hAnsi="Times New Roman"/>
          <w:color w:val="000000"/>
          <w:sz w:val="24"/>
        </w:rPr>
        <w:t>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a Defaulted Receivable or Delinquent Receivable (a) at the time such Receivable first becomes part of the Collateral or (b) as of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rPr>
        <w:t xml:space="preserve">which no more than </w:t>
      </w:r>
      <w:r>
        <w:rPr>
          <w:rFonts w:ascii="Times New Roman" w:hAnsi="Times New Roman"/>
          <w:b/>
          <w:color w:val="000000"/>
          <w:sz w:val="24"/>
        </w:rPr>
        <w:t>[***]</w:t>
      </w:r>
      <w:r>
        <w:rPr>
          <w:rFonts w:ascii="Times New Roman" w:hAnsi="Times New Roman"/>
          <w:color w:val="000000"/>
          <w:sz w:val="24"/>
        </w:rPr>
        <w:t xml:space="preserve">% of any related Scheduled Payment is more than </w:t>
      </w:r>
      <w:r>
        <w:rPr>
          <w:rFonts w:ascii="Times New Roman" w:hAnsi="Times New Roman"/>
          <w:b/>
          <w:color w:val="000000"/>
          <w:sz w:val="24"/>
        </w:rPr>
        <w:t xml:space="preserve">[***] </w:t>
      </w:r>
      <w:r>
        <w:rPr>
          <w:rFonts w:ascii="Times New Roman" w:hAnsi="Times New Roman"/>
          <w:color w:val="000000"/>
          <w:sz w:val="24"/>
        </w:rPr>
        <w:t>days past due (a) at the time such Receivable first becomes part of the Collateral and (b) as of the first Securitization Date after the date on which such receivable first becomes part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purchase or refinancing of the Financed Vehicle and which, to the best of the Borrower’s knowledge, was originated without fraud or misrepresentation;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w:t>
      </w:r>
    </w:p>
    <w:p>
      <w:pPr>
        <w:pStyle w:val="TextBody"/>
        <w:bidi w:val="0"/>
        <w:spacing w:before="0" w:after="240"/>
        <w:jc w:val="both"/>
        <w:rPr/>
      </w:pPr>
      <w:r>
        <w:rPr>
          <w:rFonts w:ascii="Times New Roman" w:hAnsi="Times New Roman"/>
          <w:color w:val="000000"/>
          <w:sz w:val="24"/>
        </w:rPr>
        <w:t xml:space="preserve">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w:t>
      </w:r>
      <w:r>
        <w:rPr>
          <w:rFonts w:ascii="Times New Roman" w:hAnsi="Times New Roman"/>
          <w:b/>
          <w:color w:val="000000"/>
          <w:sz w:val="24"/>
        </w:rPr>
        <w:t xml:space="preserve">[***] </w:t>
      </w:r>
      <w:r>
        <w:rPr>
          <w:rFonts w:ascii="Times New Roman" w:hAnsi="Times New Roman"/>
          <w:color w:val="000000"/>
          <w:sz w:val="24"/>
        </w:rPr>
        <w:t xml:space="preserve">months and, no more than </w:t>
      </w:r>
      <w:r>
        <w:rPr>
          <w:rFonts w:ascii="Times New Roman" w:hAnsi="Times New Roman"/>
          <w:b/>
          <w:color w:val="000000"/>
          <w:sz w:val="24"/>
        </w:rPr>
        <w:t xml:space="preserve">[***] </w:t>
      </w:r>
      <w:r>
        <w:rPr>
          <w:rFonts w:ascii="Times New Roman" w:hAnsi="Times New Roman"/>
          <w:color w:val="000000"/>
          <w:sz w:val="24"/>
        </w:rPr>
        <w:t xml:space="preserve">months;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for, in the event that such Receivable is prepaid by the Obligor, a prepayment that fully pays the Principal Balance of such Receivable and any interest accrued at the related APR through the date of prepayment;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has either (A)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 (B) has been originated in the United States by the Originator in accordance with its customary practices, and sold to the Borrower by the Originator pursuant to the Purchase Agreement; provided that, in the case of (A) and (B) at the time of such origination the Dealer or the Originator, as applicable, had all necessary licenses and permits to originate such Receivable in the State where such Dealer or the Originator, as the case may be, was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pStyle w:val="TextBody"/>
        <w:bidi w:val="0"/>
        <w:jc w:val="center"/>
        <w:rPr>
          <w:rFonts w:ascii="Times New Roman" w:hAnsi="Times New Roman"/>
          <w:color w:val="000000"/>
          <w:sz w:val="24"/>
        </w:rPr>
      </w:pPr>
      <w:r>
        <w:rPr>
          <w:rFonts w:ascii="Times New Roman" w:hAnsi="Times New Roman"/>
          <w:color w:val="000000"/>
          <w:sz w:val="24"/>
        </w:rPr>
        <w:t>SB-151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 of which with the proceeds of Commercial Paper Notes would constitute a “current transaction” within the meaning of Section 3(a)(3)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pStyle w:val="TextBody"/>
        <w:bidi w:val="0"/>
        <w:jc w:val="center"/>
        <w:rPr>
          <w:rFonts w:ascii="Times New Roman" w:hAnsi="Times New Roman"/>
          <w:color w:val="000000"/>
          <w:sz w:val="24"/>
        </w:rPr>
      </w:pPr>
      <w:r>
        <w:rPr>
          <w:rFonts w:ascii="Times New Roman" w:hAnsi="Times New Roman"/>
          <w:color w:val="000000"/>
          <w:sz w:val="24"/>
        </w:rPr>
        <w:t>SB-152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constitutes “tangible chattel paper” or “electronic chattel paper” under and as defined in Article 9 of the UCC as then in effect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(x) in the case of a Tangible Contract, there is only one original executed copy, and (y) in the case of an Electronic Contract, there is only one Authoritative Copy and any perceivable rendering of such Authoritative Copy bears the Required Legend;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(x) in the case of a Tangible Contract, has been manually or electronically signed by the Obligor in the appropriate spaces, (y) in the case of an Electronic Contract, has been electronically signed through the DocuSign System or eOriginal SmartSign by the Obligor in the appropriate spaces and (z) in the case of a Contract which has been Exported, contains a representation of the electronic signature of the Obligor in the appropriate spaces and the document history includes the date and time such signatures were obtained; and, in each case, all blanks that are required to be filled in have been properly filled 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the Custodian or the Title Administrator has possession for the benefit of the Secured Parties of the original Certificate of Title, or evidence of the electronic Certificate of Title;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Contract evidencing such Receivable, including the description of the motor vehicle and/or services contained therein, is in all respects complete, accurate and represents the entire agreement between the Originator and the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eOriginal SmartSign 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 Agreement was in full force and effect and there was no event of default or material breach by any party thereunder, (f) each of the E-Vault Access Agreement and the Electronic Collateral Control Agreement is in full force and effect and is no event of default or </w:t>
      </w:r>
    </w:p>
    <w:p>
      <w:pPr>
        <w:pStyle w:val="TextBody"/>
        <w:bidi w:val="0"/>
        <w:jc w:val="center"/>
        <w:rPr>
          <w:rFonts w:ascii="Times New Roman" w:hAnsi="Times New Roman"/>
          <w:color w:val="000000"/>
          <w:sz w:val="24"/>
        </w:rPr>
      </w:pPr>
      <w:r>
        <w:rPr>
          <w:rFonts w:ascii="Times New Roman" w:hAnsi="Times New Roman"/>
          <w:color w:val="000000"/>
          <w:sz w:val="24"/>
        </w:rPr>
        <w:t>SB-153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material breach by any party thereunder and (g) in respect of which all onboarding fees that are due and payable have been paid to DocuSign, eOriginal SmartSign and the E-Vault Provider and no fees will be payable to or in respect of DocuSign, eOriginal SmartSign or the E-Vault Provider in respect thereof under the E-Vault Access Agreement,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such conversion or within [30]</w:t>
      </w:r>
      <w:r>
        <w:rPr>
          <w:rFonts w:ascii="Times New Roman" w:hAnsi="Times New Roman"/>
          <w:color w:val="000000"/>
          <w:sz w:val="16"/>
        </w:rPr>
        <w:t>1</w:t>
      </w:r>
      <w:r>
        <w:rPr>
          <w:color w:val="000000"/>
        </w:rPr>
        <w:t xml:space="preserve"> </w:t>
      </w:r>
      <w:r>
        <w:rPr>
          <w:rFonts w:ascii="Times New Roman" w:hAnsi="Times New Roman"/>
          <w:color w:val="000000"/>
          <w:sz w:val="24"/>
        </w:rPr>
        <w:t>days thereafter, such Tangible Contract was destroyed, (c) the destruction of such Tangible Contract was conducted by UACC or a third party agent on behalf of UACC, (d) the destruction of such Tangible Contract is evidenced in a manner that is satisfactory to the Administrative Agent, whether by visual recording or certification of UACC or such third party agent of UACC or by any other means, and that such evidence has been delivered to or made available to the Administrative Agent, and (e) at the time of conversion of the Paper-In Contract, the requirements set forth in subclauses (b), (d), (f) and (g) of the foregoing clause (A) were satisfied with respect to such Paper-In Contract;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(xxx)</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which is an “eligible asset” as defined in Rule 3a-7 under the Investment Company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w:t>
      </w:r>
    </w:p>
    <w:p>
      <w:pPr>
        <w:pStyle w:val="TextBody"/>
        <w:bidi w:val="0"/>
        <w:spacing w:before="0" w:after="240"/>
        <w:jc w:val="both"/>
        <w:rPr/>
      </w:pPr>
      <w:r>
        <w:rPr>
          <w:rFonts w:ascii="Times New Roman" w:hAnsi="Times New Roman"/>
          <w:color w:val="000000"/>
          <w:sz w:val="24"/>
        </w:rPr>
        <w:t xml:space="preserve">with respect to which any compromise, extension, rebate, adjustment, amendment or modification (including by the extension of time for payment or the granting of any discounts, allowances or credits) was made as permitted by the Credit and Collection Policy and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Financed Vehicle has not been repossessed from the Obligor at the time such Receivable first became part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at the time of origination, all proceeds on the related Contract were fully disbursed and there is no requirement for future advances thereunder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b/>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SB-154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all fees and expenses in connection with the origination of the Receivable have been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which does not provide for the substitution, exchange or addition of any Financed Vehicle to such Receivable and with respect to which the related Financed Vehicle was properly delivered to the related Obligor in good repair, without defects and in satisfactory order;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(xxxvii)</w:t>
      </w:r>
    </w:p>
    <w:p>
      <w:pPr>
        <w:pStyle w:val="TextBody"/>
        <w:bidi w:val="0"/>
        <w:spacing w:before="0" w:after="240"/>
        <w:jc w:val="both"/>
        <w:rPr/>
      </w:pPr>
      <w:r>
        <w:rPr>
          <w:rFonts w:ascii="Times New Roman" w:hAnsi="Times New Roman"/>
          <w:color w:val="000000"/>
          <w:sz w:val="24"/>
        </w:rPr>
        <w:t xml:space="preserve">with respect to which the Servicer holds the Certificate of Title or the application for a Certificate of Title for the related Financed Vehicle or the Servicer will obtain within </w:t>
      </w:r>
      <w:r>
        <w:rPr>
          <w:rFonts w:ascii="Times New Roman" w:hAnsi="Times New Roman"/>
          <w:b/>
          <w:color w:val="000000"/>
          <w:sz w:val="24"/>
        </w:rPr>
        <w:t xml:space="preserve">[***] </w:t>
      </w:r>
      <w:r>
        <w:rPr>
          <w:rFonts w:ascii="Times New Roman" w:hAnsi="Times New Roman"/>
          <w:color w:val="000000"/>
          <w:sz w:val="24"/>
        </w:rPr>
        <w:t>days of the related Cutoff Date a Certificate of Title with respect to the Financed Vehicle as to which the Servicer holds only such application;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if the related Financed Vehicle is titled in the State of Texas, such Financed Vehicle is a “motor vehicle” as defined in Section 501.002 of the Texas Transportation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which the related Contract has not been stamped or otherwise marked to show any interest of any other Person or any such stamp or other mark has been cancelled;</w:t>
      </w:r>
    </w:p>
    <w:p>
      <w:pPr>
        <w:pStyle w:val="TextBody"/>
        <w:bidi w:val="0"/>
        <w:jc w:val="center"/>
        <w:rPr>
          <w:rFonts w:ascii="Times New Roman" w:hAnsi="Times New Roman"/>
          <w:color w:val="000000"/>
          <w:sz w:val="24"/>
        </w:rPr>
      </w:pPr>
      <w:r>
        <w:rPr>
          <w:rFonts w:ascii="Times New Roman" w:hAnsi="Times New Roman"/>
          <w:color w:val="000000"/>
          <w:sz w:val="24"/>
        </w:rPr>
        <w:t>SB-155</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(xliii)</w:t>
      </w:r>
    </w:p>
    <w:p>
      <w:pPr>
        <w:pStyle w:val="TextBody"/>
        <w:bidi w:val="0"/>
        <w:spacing w:before="0" w:after="240"/>
        <w:jc w:val="both"/>
        <w:rPr/>
      </w:pPr>
      <w:r>
        <w:rPr>
          <w:rFonts w:ascii="Times New Roman" w:hAnsi="Times New Roman"/>
          <w:color w:val="000000"/>
          <w:sz w:val="24"/>
        </w:rPr>
        <w:t xml:space="preserve">which has a Loan-to-Value Ratio (CarStory) of no greater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(xliv)</w:t>
      </w:r>
    </w:p>
    <w:p>
      <w:pPr>
        <w:pStyle w:val="TextBody"/>
        <w:bidi w:val="0"/>
        <w:spacing w:before="0" w:after="240"/>
        <w:jc w:val="both"/>
        <w:rPr/>
      </w:pPr>
      <w:r>
        <w:rPr>
          <w:rFonts w:ascii="Times New Roman" w:hAnsi="Times New Roman"/>
          <w:color w:val="000000"/>
          <w:sz w:val="24"/>
        </w:rPr>
        <w:t xml:space="preserve">which has a Loan-to-Value Ratio (KBB/NADA) of no greater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w:t>
      </w:r>
    </w:p>
    <w:p>
      <w:pPr>
        <w:pStyle w:val="TextBody"/>
        <w:bidi w:val="0"/>
        <w:spacing w:before="0" w:after="240"/>
        <w:jc w:val="both"/>
        <w:rPr/>
      </w:pPr>
      <w:r>
        <w:rPr>
          <w:rFonts w:ascii="Times New Roman" w:hAnsi="Times New Roman"/>
          <w:color w:val="000000"/>
          <w:sz w:val="24"/>
        </w:rPr>
        <w:t xml:space="preserve">with respect to which the related Obligor has a PTI of less than </w:t>
      </w:r>
      <w:r>
        <w:rPr>
          <w:rFonts w:ascii="Times New Roman" w:hAnsi="Times New Roman"/>
          <w:b/>
          <w:color w:val="000000"/>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w:t>
      </w:r>
    </w:p>
    <w:p>
      <w:pPr>
        <w:pStyle w:val="TextBody"/>
        <w:bidi w:val="0"/>
        <w:spacing w:before="0" w:after="240"/>
        <w:jc w:val="both"/>
        <w:rPr/>
      </w:pPr>
      <w:r>
        <w:rPr>
          <w:rFonts w:ascii="Times New Roman" w:hAnsi="Times New Roman"/>
          <w:color w:val="000000"/>
          <w:sz w:val="24"/>
        </w:rPr>
        <w:t xml:space="preserve">with respect to which the related Obligor has a DTI of less than </w:t>
      </w:r>
      <w:r>
        <w:rPr>
          <w:rFonts w:ascii="Times New Roman" w:hAnsi="Times New Roman"/>
          <w:b/>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 and of the Uniform Consumer Credit Code and other consumer credit laws and equal credit opportunity and disclosure laws) in respect of such Receivable and the Financed Vehicles, have been complied with in all material respects, and such Receivable and the sale of the Financed Vehicle evidenced by such Receivable complied at the time it was originated or made and now complies in all material respects with all applicable legal requirements;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to which, on the applicable Funding Date, the related Obligor has not been identified on the records of the Servicer as being the subject of a current bankruptcy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(xlix)</w:t>
      </w:r>
    </w:p>
    <w:p>
      <w:pPr>
        <w:pStyle w:val="TextBody"/>
        <w:bidi w:val="0"/>
        <w:spacing w:before="0" w:after="240"/>
        <w:jc w:val="both"/>
        <w:rPr/>
      </w:pPr>
      <w:r>
        <w:rPr>
          <w:rFonts w:ascii="Times New Roman" w:hAnsi="Times New Roman"/>
          <w:color w:val="000000"/>
          <w:sz w:val="24"/>
        </w:rPr>
        <w:t>with respect to which, the Servicer has not utilized, and has not permitted any Subservicer or any independent contractor or agent to utilize, any “starter interrupt” or similar device (each, a “</w:t>
      </w:r>
      <w:r>
        <w:rPr>
          <w:rFonts w:ascii="Times New Roman" w:hAnsi="Times New Roman"/>
          <w:color w:val="000000"/>
          <w:sz w:val="24"/>
          <w:u w:val="single"/>
        </w:rPr>
        <w:t>SID</w:t>
      </w:r>
      <w:r>
        <w:rPr>
          <w:color w:val="000000"/>
        </w:rPr>
        <w:t>”</w:t>
      </w:r>
      <w:r>
        <w:rPr>
          <w:rFonts w:ascii="Times New Roman" w:hAnsi="Times New Roman"/>
          <w:color w:val="000000"/>
          <w:sz w:val="24"/>
        </w:rPr>
        <w:t>) that may be installed on the related Financed Vehicle, provided that, for the avoidance of doubt, the use of any global positioning system (GPS) enabled device that may accompany a SID that is installed on the related Financed Vehicle shall not be deemed a breach of this clause (xlvii);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SB-156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SCHEDULE OF RECEIVABLES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(Original delivered to the Administrative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LOCATION OF RECEIVABLE FILES</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1071 Camelback Street</w:t>
      </w:r>
    </w:p>
    <w:p>
      <w:pPr>
        <w:pStyle w:val="TextBody"/>
        <w:bidi w:val="0"/>
        <w:jc w:val="left"/>
        <w:rPr>
          <w:rFonts w:ascii="Times New Roman" w:hAnsi="Times New Roman"/>
          <w:color w:val="000000"/>
          <w:sz w:val="24"/>
        </w:rPr>
      </w:pPr>
      <w:r>
        <w:rPr>
          <w:rFonts w:ascii="Times New Roman" w:hAnsi="Times New Roman"/>
          <w:color w:val="000000"/>
          <w:sz w:val="24"/>
        </w:rPr>
        <w:t>Newport Beach, California 92660</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E</w:t>
      </w:r>
    </w:p>
    <w:p>
      <w:pPr>
        <w:pStyle w:val="TextBody"/>
        <w:bidi w:val="0"/>
        <w:jc w:val="left"/>
        <w:rPr>
          <w:rFonts w:ascii="Times New Roman" w:hAnsi="Times New Roman"/>
          <w:b/>
          <w:color w:val="000000"/>
          <w:sz w:val="24"/>
        </w:rPr>
      </w:pPr>
      <w:r>
        <w:rPr>
          <w:rFonts w:ascii="Times New Roman" w:hAnsi="Times New Roman"/>
          <w:b/>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A</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Funding Request</w:t>
      </w:r>
    </w:p>
    <w:p>
      <w:pPr>
        <w:pStyle w:val="TextBody"/>
        <w:bidi w:val="0"/>
        <w:jc w:val="right"/>
        <w:rPr>
          <w:rFonts w:ascii="Times New Roman" w:hAnsi="Times New Roman"/>
          <w:color w:val="000000"/>
          <w:sz w:val="24"/>
        </w:rPr>
      </w:pPr>
      <w:r>
        <w:rPr>
          <w:rFonts w:ascii="Times New Roman" w:hAnsi="Times New Roman"/>
          <w:color w:val="000000"/>
          <w:sz w:val="24"/>
        </w:rPr>
        <w:t>____________, 201_</w:t>
      </w:r>
    </w:p>
    <w:p>
      <w:pPr>
        <w:pStyle w:val="TextBody"/>
        <w:bidi w:val="0"/>
        <w:jc w:val="left"/>
        <w:rPr>
          <w:rFonts w:ascii="Times New Roman" w:hAnsi="Times New Roman"/>
          <w:color w:val="000000"/>
          <w:sz w:val="24"/>
        </w:rPr>
      </w:pPr>
      <w:r>
        <w:rPr>
          <w:rFonts w:ascii="Times New Roman" w:hAnsi="Times New Roman"/>
          <w:color w:val="000000"/>
          <w:sz w:val="24"/>
        </w:rPr>
        <w:t>[***]</w:t>
        <w:br/>
        <w:t>[***]</w:t>
        <w:br/>
        <w:t>[***]</w:t>
        <w:br/>
        <w:t>[***]</w:t>
      </w:r>
    </w:p>
    <w:p>
      <w:pPr>
        <w:pStyle w:val="TextBody"/>
        <w:bidi w:val="0"/>
        <w:spacing w:before="0" w:after="240"/>
        <w:jc w:val="left"/>
        <w:rPr>
          <w:rFonts w:ascii="Times New Roman" w:hAnsi="Times New Roman"/>
          <w:sz w:val="20"/>
        </w:rPr>
      </w:pPr>
      <w:r>
        <w:rPr>
          <w:rFonts w:ascii="Times New Roman" w:hAnsi="Times New Roman"/>
          <w:color w:val="000000"/>
          <w:sz w:val="24"/>
        </w:rPr>
        <w:t>[***]</w:t>
        <w:br/>
        <w:t>Ref: UACC Auto Financing Trust V [Address]</w:t>
        <w:br/>
        <w:b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undersigned is a Responsible Officer of UACC Auto Financing Trust V (the “Borrower”) and is authorized to execute and deliver this Funding Request on behalf of the Borrower pursuant to the Warehouse Agreement, dated as of July 11, 2019 (as amended, restated, supplemented or otherwise modified from time to time, the “Warehouse Agreement”), among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party thereto, and [***],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requests that a Loan be made under the Warehouse Agreement on __________, ____ in the amount of $__________.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foregoing, the undersigned hereby certifies, on behalf of the Borrower,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 the conditions applicable to the requested Loan as set forth in the Warehouse Agreement have been satisfied as of the date hereof and will remain satisfied to the date of such Loan,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event has occurred, or would result from such Loan or from the application of the proceeds therefrom, which constitutes a Termination Event or Unmatured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is in material compliance with each of its covenants set forth in the Warehouse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best of the Borrower’s knowledge, no event has occurred which constitutes a Servicer Termination Event or Unmatured Servicer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requested Loan will not, on the Funding Date, exceed the Available Amount.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Collateral Coverage Ratio, with respect to the Receivables being added to the Collateral on such Funding Date, (a) is equal to ____%, which is equal to or less than the Advance Rate, or (b) in the case of a Reborrowing, is equal to ___%, which is equal to or less than the Collateral Coverage Ratio with respect to all Receivables then constituting a portion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Attached hereto is a true, correct and complete Schedule A to the Purchase Agreement, reflecting all Receivables which will become part of the Collateral on the Funding Date, each Receivable reflected thereon being an Eligible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The Cutoff Date with respect to the Receivables is , 20_</w:t>
      </w:r>
      <w:r>
        <w:rPr>
          <w:color w:val="000000"/>
          <w:u w:val="single"/>
        </w:rPr>
        <w:t xml:space="preserve"> </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and after giving effect to the requested Loan, the Borrower is Solvent.</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A-161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NOTE</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VALUE RECEIVED, the undersigned, UACC AUTO FINANCING TRUST V, a Delaware statutory trust (the “Borrower”), promises to pay to [***], as agent for the Lenders (the “Administrative Agent”), at the office of the Administrative Agent set forth in the Warehouse Agreement, dated as of July 11, 2019 (as amended, restated, supplemented or otherwise modified from time to time, the “Warehouse Agreement”) among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named therein, and the Administrative Agent, on the Termination Date, in lawful money of the United States of America and in immediately available funds, the principal amount of [__________] Dollars ($[__________]),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 Termination Event, the Administrative Agent, on behalf of the Secured Parties, shall have all of the remedies specified in the Warehouse Agreement. The Borrower hereby waives presentment, demand, protest and all notices of any kind.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NOTE SHALL BE GOVERNED BY, AND CONSTRUED AND INTERPRETED IN ACCORDANCE WITH, THE LAWS OF THE STATE OF NEW YORK WITHOUT REGARD TO PRINCIPLES OF CONFLICTS OF LAW (OTHER THAN SECTIONS 5-1401 AND 5-1402 OF THE NEW YORK GENERAL OBLIGATIONS LAW).</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b/>
          <w:color w:val="000000"/>
          <w:sz w:val="24"/>
        </w:rPr>
        <w:t>[***]</w:t>
      </w:r>
      <w:r>
        <w:rPr>
          <w:rFonts w:ascii="Times New Roman" w:hAnsi="Times New Roman"/>
          <w:color w:val="000000"/>
          <w:sz w:val="24"/>
        </w:rPr>
        <w:t>, not in its individual capacity but solely as Owner Trustee</w:t>
      </w:r>
    </w:p>
    <w:p>
      <w:pPr>
        <w:pStyle w:val="TextBody"/>
        <w:bidi w:val="0"/>
        <w:spacing w:before="240" w:after="283"/>
        <w:jc w:val="left"/>
        <w:rPr/>
      </w:pPr>
      <w:r>
        <w:rPr/>
        <w:t> </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B-163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 to</w:t>
        <w:br/>
        <w:t>Note</w:t>
      </w:r>
    </w:p>
    <w:tbl>
      <w:tblPr>
        <w:tblW w:w="8404" w:type="dxa"/>
        <w:jc w:val="left"/>
        <w:tblInd w:w="0" w:type="dxa"/>
        <w:tblLayout w:type="fixed"/>
        <w:tblCellMar>
          <w:top w:w="28" w:type="dxa"/>
          <w:left w:w="28" w:type="dxa"/>
          <w:bottom w:w="28" w:type="dxa"/>
          <w:right w:w="28" w:type="dxa"/>
        </w:tblCellMar>
      </w:tblPr>
      <w:tblGrid>
        <w:gridCol w:w="2911"/>
        <w:gridCol w:w="1741"/>
        <w:gridCol w:w="1966"/>
        <w:gridCol w:w="1786"/>
      </w:tblGrid>
      <w:tr>
        <w:trPr/>
        <w:tc>
          <w:tcPr>
            <w:tcW w:w="291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Invested Percentage of Loans</w:t>
            </w:r>
          </w:p>
        </w:tc>
        <w:tc>
          <w:tcPr>
            <w:tcW w:w="17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Interest on Loans</w:t>
            </w:r>
          </w:p>
        </w:tc>
        <w:tc>
          <w:tcPr>
            <w:tcW w:w="19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Payments on Loans</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Notation by 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B-164</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ASSIGNMENT AND ACCEPTANCE</w:t>
      </w:r>
    </w:p>
    <w:p>
      <w:pPr>
        <w:pStyle w:val="TextBody"/>
        <w:bidi w:val="0"/>
        <w:spacing w:before="0" w:after="240"/>
        <w:jc w:val="center"/>
        <w:rPr>
          <w:rFonts w:ascii="Times New Roman" w:hAnsi="Times New Roman"/>
          <w:sz w:val="20"/>
        </w:rPr>
      </w:pPr>
      <w:r>
        <w:rPr>
          <w:rFonts w:ascii="Times New Roman" w:hAnsi="Times New Roman"/>
          <w:color w:val="000000"/>
          <w:sz w:val="24"/>
        </w:rPr>
        <w:t>Dated __________, 201</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July 11, 2019 (as amended, restated, supplemented or otherwise modified from time to time, the “Warehouse Agreement”), among UACC Auto Financing Trust V, as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parties thereto and [***], as administrative agent (the “Administrative Agent”). Capitalized terms used but not otherwise defined herein shall have the meaning given to them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__________________ (the “Assignor”) and ___________________ (the “Assignee”)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represents and warrants that it is the legal and beneficial owner of the interest being assigned by it hereunder and that such interest is free and clear of any Lien.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ASSIGNMENT AND ACCEPTANCE SHALL BE GOVERNED BY, AND CONSTRUED IN ACCORDANCE WITH, THE LAWS OF THE STATE OF NEW YORK WITHOUT REGARD TO PRINCIPLES OF CONFLICTS OF LAW (OTHER THAN SECTIONS 5-1401 AND 5-1402 OF THE NEW YORK GENERAL OBLIGATIONS LAW).</w:t>
      </w:r>
    </w:p>
    <w:p>
      <w:pPr>
        <w:pStyle w:val="TextBody"/>
        <w:bidi w:val="0"/>
        <w:jc w:val="center"/>
        <w:rPr>
          <w:rFonts w:ascii="Times New Roman" w:hAnsi="Times New Roman"/>
          <w:color w:val="000000"/>
          <w:sz w:val="24"/>
        </w:rPr>
      </w:pPr>
      <w:r>
        <w:rPr>
          <w:rFonts w:ascii="Times New Roman" w:hAnsi="Times New Roman"/>
          <w:color w:val="000000"/>
          <w:sz w:val="24"/>
        </w:rPr>
        <w:t>C-166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Assignor and the Assignee have executed this Acceptance and Assignment as of the __ day of ________, 201</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Assignor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480"/>
        <w:jc w:val="center"/>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cc:</w:t>
        <w:br/>
        <w:br/>
        <w:t>UACC Auto Financing Trust V</w:t>
        <w:br/>
        <w:t xml:space="preserve">c/o </w:t>
      </w:r>
      <w:r>
        <w:rPr>
          <w:rFonts w:ascii="Times New Roman" w:hAnsi="Times New Roman"/>
          <w:b/>
          <w:color w:val="000000"/>
          <w:sz w:val="24"/>
        </w:rPr>
        <w:t>[***]</w:t>
      </w:r>
      <w:r>
        <w:rPr>
          <w:rFonts w:ascii="Times New Roman" w:hAnsi="Times New Roman"/>
          <w:color w:val="000000"/>
          <w:sz w:val="24"/>
        </w:rPr>
        <w:br/>
        <w:br/>
        <w:t xml:space="preserve">With a copy to: </w:t>
        <w:br/>
        <w:t>United Auto Credit Corporation</w:t>
        <w:br/>
        <w:t>1071 Camelback Street</w:t>
        <w:br/>
        <w:t>Newport Beach, California 92660</w:t>
        <w:br/>
        <w:t xml:space="preserve">Attention: </w:t>
      </w:r>
      <w:r>
        <w:rPr>
          <w:rFonts w:ascii="Times New Roman" w:hAnsi="Times New Roman"/>
          <w:b/>
          <w:color w:val="000000"/>
          <w:sz w:val="24"/>
        </w:rPr>
        <w:t>[***]</w:t>
      </w:r>
      <w:r>
        <w:rPr>
          <w:rFonts w:ascii="Times New Roman" w:hAnsi="Times New Roman"/>
          <w:color w:val="000000"/>
          <w:sz w:val="24"/>
        </w:rPr>
        <w:br/>
        <w:t xml:space="preserve">Telephone No.: </w:t>
      </w:r>
      <w:r>
        <w:rPr>
          <w:rFonts w:ascii="Times New Roman" w:hAnsi="Times New Roman"/>
          <w:b/>
          <w:color w:val="000000"/>
          <w:sz w:val="24"/>
        </w:rPr>
        <w:t>[***]</w:t>
      </w:r>
      <w:r>
        <w:rPr>
          <w:rFonts w:ascii="Times New Roman" w:hAnsi="Times New Roman"/>
          <w:color w:val="000000"/>
          <w:sz w:val="24"/>
        </w:rPr>
        <w:br/>
        <w:t xml:space="preserve">Email: </w:t>
      </w:r>
      <w:r>
        <w:rPr>
          <w:rFonts w:ascii="Times New Roman" w:hAnsi="Times New Roman"/>
          <w:b/>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C-167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sz w:val="20"/>
        </w:rPr>
      </w:pPr>
      <w:r>
        <w:rPr>
          <w:rFonts w:ascii="Times New Roman" w:hAnsi="Times New Roman"/>
          <w:color w:val="000000"/>
          <w:sz w:val="24"/>
        </w:rPr>
        <w:t>Schedule 1</w:t>
        <w:br/>
        <w:t>to</w:t>
        <w:br/>
        <w:t>Assignment and Acceptance</w:t>
        <w:br/>
        <w:t>Dated _________, 20_</w:t>
      </w:r>
      <w:r>
        <w:rPr>
          <w:rFonts w:ascii="Times New Roman" w:hAnsi="Times New Roman"/>
          <w:color w:val="000000"/>
          <w:sz w:val="20"/>
        </w:rPr>
        <w:t xml:space="preserve"> </w:t>
      </w:r>
    </w:p>
    <w:tbl>
      <w:tblPr>
        <w:tblW w:w="7697" w:type="dxa"/>
        <w:jc w:val="left"/>
        <w:tblInd w:w="0" w:type="dxa"/>
        <w:tblLayout w:type="fixed"/>
        <w:tblCellMar>
          <w:top w:w="28" w:type="dxa"/>
          <w:left w:w="28" w:type="dxa"/>
          <w:bottom w:w="28" w:type="dxa"/>
          <w:right w:w="28" w:type="dxa"/>
        </w:tblCellMar>
      </w:tblPr>
      <w:tblGrid>
        <w:gridCol w:w="5506"/>
        <w:gridCol w:w="2191"/>
      </w:tblGrid>
      <w:tr>
        <w:trPr/>
        <w:tc>
          <w:tcPr>
            <w:tcW w:w="55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1</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Percentage Interest:</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2</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 xml:space="preserve">Assignee’s Commitment: </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Aggregate Lender Advances Owing to the Assignee:</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3</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769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Assignment Date: _____________, 20_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C-168</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CREDIT AND COLLECTION POLICY</w:t>
      </w:r>
    </w:p>
    <w:p>
      <w:pPr>
        <w:pStyle w:val="TextBody"/>
        <w:bidi w:val="0"/>
        <w:spacing w:before="0" w:after="360"/>
        <w:jc w:val="center"/>
        <w:rPr>
          <w:rFonts w:ascii="Times New Roman" w:hAnsi="Times New Roman"/>
          <w:sz w:val="20"/>
        </w:rPr>
      </w:pPr>
      <w:r>
        <w:rPr>
          <w:rFonts w:ascii="Times New Roman" w:hAnsi="Times New Roman"/>
          <w:caps/>
          <w:color w:val="000000"/>
          <w:sz w:val="24"/>
        </w:rPr>
        <w:t>[</w:t>
      </w:r>
      <w:r>
        <w:rPr>
          <w:rFonts w:ascii="Times New Roman" w:hAnsi="Times New Roman"/>
          <w:color w:val="000000"/>
          <w:sz w:val="24"/>
        </w:rPr>
        <w:t>Provided In Electronic Form</w:t>
      </w:r>
      <w:r>
        <w:rPr>
          <w:rFonts w:ascii="Times New Roman" w:hAnsi="Times New Roman"/>
          <w:caps/>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E</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POWER OF ATTORNEY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Power of Attorney (this “Power of Attorney”) is executed and delivered by UACC Auto Financing Trust V (“Grantor”) to [***], as Administrative Agent (“Attorney”), pursuant to the Warehouse Agreement, dated as of July 11, 2019 (as amended, restated, supplemented or otherwise modified from time to time, the “Warehouse Agreement”), among UACC Auto Financing Trust V, as borrower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acting through its Corporate Trust Services division, as backup servicer and account bank, the lenders from time to time parties thereto, and [***], as administrative agent. Capitalized terms used herein that are not otherwise defined shall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pStyle w:val="TextBody"/>
        <w:bidi w:val="0"/>
        <w:spacing w:before="0" w:after="240"/>
        <w:jc w:val="both"/>
        <w:rPr>
          <w:rFonts w:ascii="Times New Roman" w:hAnsi="Times New Roman"/>
          <w:sz w:val="20"/>
        </w:rPr>
      </w:pPr>
      <w:r>
        <w:rPr>
          <w:rFonts w:ascii="Times New Roman" w:hAnsi="Times New Roman"/>
          <w:color w:val="000000"/>
          <w:sz w:val="24"/>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Grantor hereby ratifies, to the extent permitted by Applicable Law, all that said attorneys shall lawfully do or cause to be done by virtue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Power of Attorney is executed by Grantor as of this __ day of [_____________] 2019.</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b/>
          <w:color w:val="000000"/>
          <w:sz w:val="24"/>
        </w:rPr>
        <w:t>[***]</w:t>
      </w:r>
      <w:r>
        <w:rPr>
          <w:rFonts w:ascii="Times New Roman" w:hAnsi="Times New Roman"/>
          <w:color w:val="000000"/>
          <w:sz w:val="24"/>
        </w:rPr>
        <w:t>, not in its individual capacity but solely as Owner Trustee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Sworn to and subscribed before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me this __ day of [_________] 2019</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SEAL]</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E-171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F</w:t>
      </w:r>
    </w:p>
    <w:p>
      <w:pPr>
        <w:pStyle w:val="TextBody"/>
        <w:bidi w:val="0"/>
        <w:jc w:val="left"/>
        <w:rPr>
          <w:rFonts w:ascii="Times New Roman" w:hAnsi="Times New Roman"/>
          <w:b/>
          <w:color w:val="000000"/>
          <w:sz w:val="24"/>
        </w:rPr>
      </w:pPr>
      <w:r>
        <w:rPr>
          <w:rFonts w:ascii="Times New Roman" w:hAnsi="Times New Roman"/>
          <w:b/>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G</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RELEASE OF DOCUMENTS</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[Custodian]</w:t>
        <w:br/>
        <w:br/>
        <w:br/>
        <w:t>Attention: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July 11, 2019 (as amended, restated, supplemented or otherwise modified from time to time, the “Warehouse Agreement”), among UACC Auto Financing Trust V, as borrower, United Auto Credit Corporation, as servicer (the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parties thereto, and [***], as administrative agent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in its capacity as Servicer under the Warehouse Agreement, hereby requests (check one):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release to the Servicer the Receivable Files or other documents set forth on Schedule A to this 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 that the Custodian permanently release to the Servicer the Receivable Files or other documents set forth on 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has executed this Release of Documents as of the date first written above.</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H</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RECEIVABLE RECEIPT</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201</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t>
        <w:br/>
        <w:t>as Administrative Agent</w:t>
        <w:br/>
        <w:t>[***]</w:t>
        <w:br/>
        <w:t>[***]</w:t>
        <w:b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br/>
        <w:t>Ref: UACC Auto Financing Trust V</w:t>
        <w:br/>
        <w:br/>
        <w:t>Attention: [___________]</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July 11, 2019 (as amended, restated, supplemented or otherwise modified from time to time, the “Warehouse Agreement”), among UACC Auto Financing Trust V, as borrower, United Auto Credit Corporation (“UACC”), as servicer and as custodian (in such capacity, the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parties thereto, and [***], as administrative agent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b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Schedule 1</w:t>
        <w:br/>
        <w:t>To Receivable Receipt</w:t>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H-176</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Schedule 2</w:t>
        <w:br/>
        <w:t>To Receivable Receipt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H-177</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I</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SECURITIZATION RELEASE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hereby made to the Warehouse Agreement, Warehouse Agreement, dated as of July 11, 2019 (as amended, restated, supplemented or otherwise modified from time to time, the “Warehouse Agreement”), among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party thereto, and [***],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deposit in the Collection Account of $___________ in accordance with Section 2.15(a)(iv) in immediately available funds, the Administrative Agent hereby releases all of its right, title and interest, including its Lien, in and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w:t>
      </w:r>
      <w:r>
        <w:rPr>
          <w:rFonts w:ascii="Times New Roman" w:hAnsi="Times New Roman"/>
          <w:color w:val="000000"/>
          <w:sz w:val="24"/>
        </w:rPr>
        <w:t>; and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all income, products, accessions and proceeds of the foregoing.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Executed as of __________, 201_.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UACC AUTO FINANCING TRUST V, as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 as Servicer</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rFonts w:ascii="Times New Roman" w:hAnsi="Times New Roman"/>
          <w:color w:val="000000"/>
          <w:sz w:val="24"/>
        </w:rPr>
      </w:pPr>
      <w:r>
        <w:rPr>
          <w:rFonts w:ascii="Times New Roman" w:hAnsi="Times New Roman"/>
          <w:color w:val="000000"/>
          <w:sz w:val="24"/>
        </w:rPr>
        <w:t>[***], as Administrative Agent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I-179</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1</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UACC AUTO FINANCING TRUST V</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SECURITIZATION DATE CERTIFICATE</w:t>
        <w:br/>
        <w:t>PURSUANT TO SECTION 2.15(a)</w:t>
        <w:br/>
        <w:t>OF THE WAREHOUSE AGREEMENT</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UACC AUTO FINANCING TRUST V, a Delaware statutory trust, as borrower (the “Borrower”), delivers this certificate pursuant to Section 2.15(a) of the Warehouse Agreement, dated as of July 11, 2019 (as amended, restated, supplemented or otherwise modified from time to time, the “Warehouse Agreement”), among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party thereto, and [***], as administrative agent, and hereby certifies, as of the date hereof,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sufficient funds on the related Securitization Date to effect the Securitization in accordance with the Warehouse Agreement (taking into account, to the extent necessary, the proceeds of sales of the Collateral in the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giving effect of the Securitization, the release by the Administrative Agent of the related Receivables on the Securitization Date and the transfer by the Borrower of the related Receivables on the Securitization Date, (A) the representations and warranties contained in Section 5.01 and 5.02 of the Warehouse Agreement continue to be true and correct in all material respects, except to the extent relating to an earlier date and (B) no Unmatured Termination Event, Termination Event, Servicer Termination Event or Unmatured Servicer Termination Event has resulted;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adverse selection procedure shall have been used by the Borrower with respect to the Receivables that will remain subject to this Agreement after giving effect to the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jc w:val="center"/>
        <w:rPr>
          <w:rFonts w:ascii="Times New Roman" w:hAnsi="Times New Roman"/>
          <w:color w:val="000000"/>
          <w:sz w:val="24"/>
        </w:rPr>
      </w:pPr>
      <w:r>
        <w:rPr>
          <w:rFonts w:ascii="Times New Roman" w:hAnsi="Times New Roman"/>
          <w:color w:val="000000"/>
          <w:sz w:val="24"/>
        </w:rPr>
        <w:t>I-180</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Borrower has caused this certificate to be executed on its behalf this ___ day of _________, 201_.</w:t>
      </w:r>
    </w:p>
    <w:p>
      <w:pPr>
        <w:pStyle w:val="TextBody"/>
        <w:bidi w:val="0"/>
        <w:jc w:val="left"/>
        <w:rPr>
          <w:rFonts w:ascii="Times New Roman" w:hAnsi="Times New Roman"/>
          <w:color w:val="000000"/>
          <w:sz w:val="24"/>
        </w:rPr>
      </w:pPr>
      <w:r>
        <w:rPr>
          <w:rFonts w:ascii="Times New Roman" w:hAnsi="Times New Roman"/>
          <w:color w:val="000000"/>
          <w:sz w:val="24"/>
        </w:rPr>
        <w:t>UACC AUTO FINANCING TRUST V, as Borrower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I-181</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2</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NOTICE</w:t>
      </w:r>
    </w:p>
    <w:p>
      <w:pPr>
        <w:pStyle w:val="TextBody"/>
        <w:bidi w:val="0"/>
        <w:spacing w:before="0" w:after="360"/>
        <w:jc w:val="center"/>
        <w:rPr>
          <w:rFonts w:ascii="Times New Roman" w:hAnsi="Times New Roman"/>
          <w:sz w:val="20"/>
        </w:rPr>
      </w:pPr>
      <w:r>
        <w:rPr>
          <w:rFonts w:ascii="Times New Roman" w:hAnsi="Times New Roman"/>
          <w:color w:val="000000"/>
          <w:sz w:val="24"/>
        </w:rPr>
        <w:t>UACC AUTO FINANCING TRUST V</w:t>
        <w:br/>
      </w:r>
      <w:r>
        <w:rPr>
          <w:rFonts w:ascii="Times New Roman" w:hAnsi="Times New Roman"/>
          <w:color w:val="000000"/>
          <w:sz w:val="20"/>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______________, 20___</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as Administrative Agent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Ref: UACC Auto Financing Trust V</w:t>
      </w:r>
    </w:p>
    <w:p>
      <w:pPr>
        <w:pStyle w:val="TextBody"/>
        <w:bidi w:val="0"/>
        <w:jc w:val="left"/>
        <w:rPr/>
      </w:pPr>
      <w:r>
        <w:rPr/>
        <w:t> </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Attention: [_____________]</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UACC AUTO FINANCING TRUST V–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July 11, 2019 (as amended, restated, supplemented or otherwise modified from time to time, the “Warehouse Agreement”), among the Borrower, United Auto Credit Corporation, as servicer and as custodian, </w:t>
      </w:r>
      <w:r>
        <w:rPr>
          <w:rFonts w:ascii="Times New Roman" w:hAnsi="Times New Roman"/>
          <w:b/>
          <w:color w:val="000000"/>
          <w:sz w:val="24"/>
        </w:rPr>
        <w:t>[***]</w:t>
      </w:r>
      <w:r>
        <w:rPr>
          <w:rFonts w:ascii="Times New Roman" w:hAnsi="Times New Roman"/>
          <w:color w:val="000000"/>
          <w:sz w:val="24"/>
        </w:rPr>
        <w:t>, as backup servicer and account bank, the Lenders from time to time party thereto, and [***], as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Section 2.15(a)(i) of the Warehouse Agreement, the Borrower gives notice of its intent to effect a Securitization on or about __________, 20__ (which date is no fewer than [***] Business Days after the date of delivery of this notice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jc w:val="center"/>
        <w:rPr>
          <w:rFonts w:ascii="Times New Roman" w:hAnsi="Times New Roman"/>
          <w:color w:val="000000"/>
          <w:sz w:val="24"/>
        </w:rPr>
      </w:pPr>
      <w:r>
        <w:rPr>
          <w:rFonts w:ascii="Times New Roman" w:hAnsi="Times New Roman"/>
          <w:color w:val="000000"/>
          <w:sz w:val="24"/>
        </w:rPr>
        <w:t>I-182</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UACC AUTO FINANCING TRUST V</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I-183</w:t>
      </w:r>
    </w:p>
    <w:p>
      <w:pPr>
        <w:pStyle w:val="TextBody"/>
        <w:bidi w:val="0"/>
        <w:jc w:val="left"/>
        <w:rPr>
          <w:rFonts w:ascii="Times New Roman" w:hAnsi="Times New Roman"/>
          <w:color w:val="000000"/>
          <w:sz w:val="16"/>
        </w:rPr>
      </w:pPr>
      <w:r>
        <w:rPr>
          <w:rFonts w:ascii="Times New Roman" w:hAnsi="Times New Roman"/>
          <w:color w:val="000000"/>
          <w:sz w:val="16"/>
        </w:rPr>
        <w:t>155673.00101/154424345v.13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Securitization Release</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Schedule of Securitized Assets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3" w:after="283"/>
        <w:jc w:val="right"/>
        <w:rPr>
          <w:rFonts w:ascii="Times New Roman" w:hAnsi="Times New Roman"/>
          <w:color w:val="000000"/>
          <w:sz w:val="24"/>
        </w:rPr>
      </w:pPr>
      <w:bookmarkStart w:id="27" w:name="vrm-ex10_2.htm"/>
      <w:bookmarkStart w:id="28" w:name="ksvrmex10_2"/>
      <w:bookmarkEnd w:id="27"/>
      <w:bookmarkEnd w:id="28"/>
      <w:r>
        <w:rPr>
          <w:rFonts w:ascii="Times New Roman" w:hAnsi="Times New Roman"/>
          <w:color w:val="000000"/>
          <w:sz w:val="24"/>
        </w:rPr>
        <w:t>Exhibit 10.2</w:t>
      </w:r>
      <w:r>
        <w:br w:type="page"/>
      </w:r>
    </w:p>
    <w:p>
      <w:pPr>
        <w:pStyle w:val="TextBody"/>
        <w:bidi w:val="0"/>
        <w:spacing w:before="24" w:after="283"/>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Certain information in this document has been excluded pursuant to Regulation S-K, Item (601)(b)(10). Such excluded information is both (i) not material and (ii) the type that the Registrant treats as private or confidential.</w:t>
      </w:r>
    </w:p>
    <w:p>
      <w:pPr>
        <w:pStyle w:val="TextBody"/>
        <w:bidi w:val="0"/>
        <w:jc w:val="center"/>
        <w:rPr>
          <w:rFonts w:ascii="Times New Roman" w:hAnsi="Times New Roman"/>
          <w:color w:val="000000"/>
          <w:sz w:val="24"/>
        </w:rPr>
      </w:pPr>
      <w:r>
        <w:rPr>
          <w:rFonts w:ascii="Times New Roman" w:hAnsi="Times New Roman"/>
          <w:color w:val="000000"/>
          <w:sz w:val="24"/>
        </w:rPr>
        <w:t>AMENDMENT NO. 8</w:t>
      </w:r>
    </w:p>
    <w:p>
      <w:pPr>
        <w:pStyle w:val="TextBody"/>
        <w:bidi w:val="0"/>
        <w:jc w:val="center"/>
        <w:rPr>
          <w:rFonts w:ascii="Times New Roman" w:hAnsi="Times New Roman"/>
          <w:color w:val="000000"/>
          <w:sz w:val="24"/>
        </w:rPr>
      </w:pPr>
      <w:r>
        <w:rPr>
          <w:rFonts w:ascii="Times New Roman" w:hAnsi="Times New Roman"/>
          <w:color w:val="000000"/>
          <w:sz w:val="24"/>
        </w:rPr>
        <w:t>TO AMENDED AND RESTATED WAREHOUSE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October 9,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AMENDMENT NO. 8 TO AMENDED AND RESTATED WAREHOUSE</w:t>
      </w:r>
    </w:p>
    <w:p>
      <w:pPr>
        <w:pStyle w:val="TextBody"/>
        <w:bidi w:val="0"/>
        <w:jc w:val="both"/>
        <w:rPr>
          <w:rFonts w:ascii="Times New Roman" w:hAnsi="Times New Roman"/>
          <w:sz w:val="20"/>
        </w:rPr>
      </w:pPr>
      <w:r>
        <w:rPr>
          <w:rFonts w:ascii="Times New Roman" w:hAnsi="Times New Roman"/>
          <w:color w:val="000000"/>
          <w:sz w:val="24"/>
        </w:rPr>
        <w:t>AGREEMENT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is made and entered into as of October 9, 2025 among UACC AUTO FINANCING TRUST V,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and as sole certificateholder (in such capacity, the “</w:t>
      </w:r>
      <w:r>
        <w:rPr>
          <w:rFonts w:ascii="Times New Roman" w:hAnsi="Times New Roman"/>
          <w:color w:val="000000"/>
          <w:sz w:val="24"/>
          <w:u w:val="single"/>
        </w:rPr>
        <w:t>Certificateholder</w:t>
      </w:r>
      <w:r>
        <w:rPr>
          <w:rFonts w:ascii="Times New Roman" w:hAnsi="Times New Roman"/>
          <w:color w:val="000000"/>
          <w:sz w:val="20"/>
        </w:rPr>
        <w:t>”</w:t>
      </w:r>
      <w:r>
        <w:rPr>
          <w:rFonts w:ascii="Times New Roman" w:hAnsi="Times New Roman"/>
          <w:color w:val="000000"/>
          <w:sz w:val="24"/>
        </w:rPr>
        <w:t>), [***] (“[***]”), acting through its Corporate Trust Services division, as backup servicer (in such capacity, the “</w:t>
      </w:r>
      <w:r>
        <w:rPr>
          <w:rFonts w:ascii="Times New Roman" w:hAnsi="Times New Roman"/>
          <w:color w:val="000000"/>
          <w:sz w:val="24"/>
          <w:u w:val="single"/>
        </w:rPr>
        <w:t>Backup Servicer</w:t>
      </w:r>
      <w:r>
        <w:rPr>
          <w:rFonts w:ascii="Times New Roman" w:hAnsi="Times New Roman"/>
          <w:color w:val="000000"/>
          <w:sz w:val="20"/>
        </w:rPr>
        <w:t>”</w:t>
      </w:r>
      <w:r>
        <w:rPr>
          <w:rFonts w:ascii="Times New Roman" w:hAnsi="Times New Roman"/>
          <w:color w:val="000000"/>
          <w:sz w:val="24"/>
        </w:rPr>
        <w:t>) and as account bank (in such capacity, the “</w:t>
      </w:r>
      <w:r>
        <w:rPr>
          <w:rFonts w:ascii="Times New Roman" w:hAnsi="Times New Roman"/>
          <w:color w:val="000000"/>
          <w:sz w:val="24"/>
          <w:u w:val="single"/>
        </w:rPr>
        <w:t>Account Bank</w:t>
      </w:r>
      <w:r>
        <w:rPr>
          <w:rFonts w:ascii="Times New Roman" w:hAnsi="Times New Roman"/>
          <w:color w:val="000000"/>
          <w:sz w:val="20"/>
        </w:rPr>
        <w:t>”</w:t>
      </w:r>
      <w:r>
        <w:rPr>
          <w:rFonts w:ascii="Times New Roman" w:hAnsi="Times New Roman"/>
          <w:color w:val="000000"/>
          <w:sz w:val="24"/>
        </w:rPr>
        <w:t>), the lenders from time to time parties thereto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 and [***], as administrative agent for the Lenders and as agent for the Secured Parties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Capitalized terms used herein and not defined herein shall have the meanings given to such terms in, or by reference in, the Warehouse Agreement (as defined below).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PRELIMINARY STATEMENTS</w:t>
      </w:r>
    </w:p>
    <w:p>
      <w:pPr>
        <w:pStyle w:val="TextBody"/>
        <w:bidi w:val="0"/>
        <w:spacing w:before="240" w:after="283"/>
        <w:jc w:val="both"/>
        <w:rPr>
          <w:rFonts w:ascii="Times New Roman" w:hAnsi="Times New Roman"/>
          <w:sz w:val="20"/>
        </w:rPr>
      </w:pPr>
      <w:r>
        <w:rPr>
          <w:rFonts w:ascii="Times New Roman" w:hAnsi="Times New Roman"/>
          <w:color w:val="000000"/>
          <w:sz w:val="24"/>
        </w:rPr>
        <w:t>WHEREAS, the Borrower, the Servicer, the Custodian, the Certificateholder, the Backup Servicer, the Account Bank, the Lenders and the Administrative Agent are party to that certain Amended and Restated Warehouse Agreement, dated as of March 29, 2021 (as amended, restated, supplemented or otherwise modified from time to time, the “</w:t>
      </w:r>
      <w:r>
        <w:rPr>
          <w:rFonts w:ascii="Times New Roman" w:hAnsi="Times New Roman"/>
          <w:color w:val="000000"/>
          <w:sz w:val="24"/>
          <w:u w:val="single"/>
        </w:rPr>
        <w:t>Warehouse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each of the parties hereto has agreed to amend the Warehouse Agreement, on the terms and subject to the conditions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premises set forth above, and other good and valuable consideration, the receipt and sufficiency of which are hereby acknowledged, the parties hereto hereby agree as follows:</w:t>
      </w:r>
    </w:p>
    <w:p>
      <w:pPr>
        <w:pStyle w:val="TextBody"/>
        <w:bidi w:val="0"/>
        <w:spacing w:before="239" w:after="283"/>
        <w:jc w:val="both"/>
        <w:rPr>
          <w:rFonts w:ascii="Times New Roman" w:hAnsi="Times New Roman"/>
          <w:sz w:val="20"/>
        </w:rPr>
      </w:pPr>
      <w:r>
        <w:rPr>
          <w:rFonts w:ascii="Cambria;serif" w:hAnsi="Cambria;serif"/>
          <w:color w:val="000000"/>
          <w:sz w:val="24"/>
        </w:rPr>
        <w:t xml:space="preserve">SECTION 1. </w:t>
      </w:r>
      <w:r>
        <w:rPr>
          <w:rFonts w:ascii="Times New Roman" w:hAnsi="Times New Roman"/>
          <w:color w:val="000000"/>
          <w:sz w:val="24"/>
          <w:u w:val="single"/>
        </w:rPr>
        <w:t>Amendments to the Warehouse Agreement</w:t>
      </w:r>
      <w:r>
        <w:rPr>
          <w:rFonts w:ascii="Times New Roman" w:hAnsi="Times New Roman"/>
          <w:color w:val="000000"/>
          <w:sz w:val="24"/>
        </w:rPr>
        <w:t>. As of the Effective Date (defined below), the Warehouse Agreement is hereby amended as follows:</w:t>
      </w:r>
    </w:p>
    <w:p>
      <w:pPr>
        <w:pStyle w:val="TextBody"/>
        <w:bidi w:val="0"/>
        <w:spacing w:before="239" w:after="283"/>
        <w:jc w:val="both"/>
        <w:rPr>
          <w:rFonts w:ascii="Cambria" w:hAnsi="Cambria"/>
          <w:color w:val="000000"/>
          <w:sz w:val="24"/>
        </w:rPr>
      </w:pPr>
      <w:r>
        <w:rPr>
          <w:rFonts w:ascii="Cambria" w:hAnsi="Cambria"/>
          <w:color w:val="000000"/>
          <w:sz w:val="24"/>
        </w:rPr>
        <w:t>1.1</w:t>
      </w:r>
    </w:p>
    <w:p>
      <w:pPr>
        <w:pStyle w:val="TextBody"/>
        <w:bidi w:val="0"/>
        <w:spacing w:before="239" w:after="283"/>
        <w:jc w:val="both"/>
        <w:rPr/>
      </w:pPr>
      <w:r>
        <w:rPr>
          <w:rFonts w:ascii="Times New Roman" w:hAnsi="Times New Roman"/>
          <w:color w:val="000000"/>
          <w:sz w:val="24"/>
        </w:rPr>
        <w:t>The definition of “</w:t>
      </w:r>
      <w:r>
        <w:rPr>
          <w:rFonts w:ascii="Times New Roman" w:hAnsi="Times New Roman"/>
          <w:color w:val="000000"/>
          <w:sz w:val="24"/>
          <w:u w:val="single"/>
        </w:rPr>
        <w:t>Quarterly Report</w:t>
      </w:r>
      <w:r>
        <w:rPr>
          <w:color w:val="000000"/>
        </w:rPr>
        <w:t xml:space="preserve">” </w:t>
      </w:r>
      <w:r>
        <w:rPr>
          <w:rFonts w:ascii="Times New Roman" w:hAnsi="Times New Roman"/>
          <w:color w:val="000000"/>
          <w:sz w:val="24"/>
        </w:rPr>
        <w:t>in Section 1.01 of the Warehouse Agreement is hereby amended and restated in its entirety to read as follows:</w:t>
      </w:r>
    </w:p>
    <w:p>
      <w:pPr>
        <w:pStyle w:val="TextBody"/>
        <w:bidi w:val="0"/>
        <w:spacing w:before="239" w:after="283"/>
        <w:jc w:val="both"/>
        <w:rPr/>
      </w:pPr>
      <w:r>
        <w:rPr>
          <w:color w:val="000000"/>
        </w:rPr>
        <w:t>“</w:t>
      </w:r>
      <w:r>
        <w:rPr>
          <w:rFonts w:ascii="Times New Roman" w:hAnsi="Times New Roman"/>
          <w:color w:val="000000"/>
          <w:sz w:val="24"/>
          <w:u w:val="single"/>
        </w:rPr>
        <w:t>Quarterly Report</w:t>
      </w:r>
      <w:r>
        <w:rPr>
          <w:rFonts w:ascii="Times New Roman" w:hAnsi="Times New Roman"/>
          <w:color w:val="000000"/>
          <w:sz w:val="20"/>
        </w:rPr>
        <w:t xml:space="preserve">” </w:t>
      </w:r>
      <w:r>
        <w:rPr>
          <w:rFonts w:ascii="Times New Roman" w:hAnsi="Times New Roman"/>
          <w:color w:val="000000"/>
          <w:sz w:val="24"/>
        </w:rPr>
        <w:t>means a data tape, which shall include as to each Receivable and each Other Receivable, as applicable, such information provided in Schedule E and other such information as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p>
    <w:p>
      <w:pPr>
        <w:pStyle w:val="TextBody"/>
        <w:bidi w:val="0"/>
        <w:spacing w:before="241" w:after="283"/>
        <w:jc w:val="both"/>
        <w:rPr>
          <w:rFonts w:ascii="Cambria" w:hAnsi="Cambria"/>
          <w:color w:val="000000"/>
          <w:sz w:val="24"/>
        </w:rPr>
      </w:pPr>
      <w:r>
        <w:rPr>
          <w:rFonts w:ascii="Cambria" w:hAnsi="Cambria"/>
          <w:color w:val="000000"/>
          <w:sz w:val="24"/>
        </w:rPr>
        <w:t>1.2</w:t>
      </w:r>
    </w:p>
    <w:p>
      <w:pPr>
        <w:pStyle w:val="TextBody"/>
        <w:bidi w:val="0"/>
        <w:spacing w:before="241" w:after="283"/>
        <w:jc w:val="both"/>
        <w:rPr/>
      </w:pPr>
      <w:r>
        <w:rPr>
          <w:rFonts w:ascii="Times New Roman" w:hAnsi="Times New Roman"/>
          <w:color w:val="000000"/>
          <w:sz w:val="24"/>
        </w:rPr>
        <w:t>The following definition of “</w:t>
      </w:r>
      <w:r>
        <w:rPr>
          <w:rFonts w:ascii="Times New Roman" w:hAnsi="Times New Roman"/>
          <w:color w:val="000000"/>
          <w:sz w:val="24"/>
          <w:u w:val="single"/>
        </w:rPr>
        <w:t>Other Receivable</w:t>
      </w:r>
      <w:r>
        <w:rPr>
          <w:color w:val="000000"/>
        </w:rPr>
        <w:t xml:space="preserve">” </w:t>
      </w:r>
      <w:r>
        <w:rPr>
          <w:rFonts w:ascii="Times New Roman" w:hAnsi="Times New Roman"/>
          <w:color w:val="000000"/>
          <w:sz w:val="24"/>
        </w:rPr>
        <w:t>is hereby added to Section</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1.01 of the Warehouse Agreement to read as follows:</w:t>
      </w:r>
    </w:p>
    <w:p>
      <w:pPr>
        <w:pStyle w:val="TextBody"/>
        <w:bidi w:val="0"/>
        <w:spacing w:before="240" w:after="283"/>
        <w:jc w:val="both"/>
        <w:rPr/>
      </w:pPr>
      <w:r>
        <w:rPr>
          <w:color w:val="000000"/>
        </w:rPr>
        <w:t>“</w:t>
      </w:r>
      <w:r>
        <w:rPr>
          <w:rFonts w:ascii="Times New Roman" w:hAnsi="Times New Roman"/>
          <w:color w:val="000000"/>
          <w:sz w:val="24"/>
          <w:u w:val="single"/>
        </w:rPr>
        <w:t>Other Receivable</w:t>
      </w:r>
      <w:r>
        <w:rPr>
          <w:rFonts w:ascii="Times New Roman" w:hAnsi="Times New Roman"/>
          <w:color w:val="000000"/>
          <w:sz w:val="20"/>
        </w:rPr>
        <w:t xml:space="preserve">” </w:t>
      </w:r>
      <w:r>
        <w:rPr>
          <w:rFonts w:ascii="Times New Roman" w:hAnsi="Times New Roman"/>
          <w:color w:val="000000"/>
          <w:sz w:val="24"/>
        </w:rPr>
        <w:t>means a Serviced Portfolio Receivable that is not a Receivable.</w:t>
      </w:r>
    </w:p>
    <w:p>
      <w:pPr>
        <w:pStyle w:val="TextBody"/>
        <w:bidi w:val="0"/>
        <w:spacing w:before="80" w:after="283"/>
        <w:jc w:val="both"/>
        <w:rPr>
          <w:rFonts w:ascii="Cambria" w:hAnsi="Cambria"/>
          <w:color w:val="000000"/>
          <w:sz w:val="24"/>
        </w:rPr>
      </w:pPr>
      <w:r>
        <w:rPr>
          <w:rFonts w:ascii="Cambria" w:hAnsi="Cambria"/>
          <w:color w:val="000000"/>
          <w:sz w:val="24"/>
        </w:rPr>
        <w:t>1.3</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Clause (iii) of the definition of “Overcollateralization Increase Event” in Section 1.01 of the Warehouse Agreement is hereby amended and restated in its entirety to read as follows:</w:t>
      </w:r>
    </w:p>
    <w:p>
      <w:pPr>
        <w:pStyle w:val="TextBody"/>
        <w:bidi w:val="0"/>
        <w:spacing w:before="238" w:after="283"/>
        <w:jc w:val="both"/>
        <w:rPr>
          <w:color w:val="000000"/>
        </w:rPr>
      </w:pPr>
      <w:r>
        <w:rPr>
          <w:color w:val="000000"/>
        </w:rPr>
        <w:t>“</w:t>
      </w:r>
      <w:r>
        <w:rPr>
          <w:rFonts w:ascii="Times New Roman" w:hAnsi="Times New Roman"/>
          <w:color w:val="000000"/>
          <w:sz w:val="24"/>
        </w:rPr>
        <w:t>(iii)(a) with respect to Payment Dates occurring in the months of April through October, the arithmetic mean of the Serviced Portfolio Annualized Net Loss Ratio for the related Collection Period and the two previous Collection Periods exceeds [***]% and (b) with respect to all other Payment Dates, the arithmetic mean of the Serviced Portfolio Annualized Net Loss Ratio for the related Collection Period and the two previous Collection Periods exceeds [***]%; provided however, with respect to the Payment Dates occurring in October 2025 and November 2025, the arithmetic mean of the Serviced Portfolio Annualized Net Loss Ratio for the related Collection Period and the two previous Collection Periods exceeds [***]%;”</w:t>
      </w:r>
    </w:p>
    <w:p>
      <w:pPr>
        <w:pStyle w:val="TextBody"/>
        <w:bidi w:val="0"/>
        <w:spacing w:before="239" w:after="283"/>
        <w:jc w:val="both"/>
        <w:rPr>
          <w:rFonts w:ascii="Cambria" w:hAnsi="Cambria"/>
          <w:color w:val="000000"/>
          <w:sz w:val="24"/>
        </w:rPr>
      </w:pPr>
      <w:r>
        <w:rPr>
          <w:rFonts w:ascii="Cambria" w:hAnsi="Cambria"/>
          <w:color w:val="000000"/>
          <w:sz w:val="24"/>
        </w:rPr>
        <w:t>1.4</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Section 7.06(b) of the Warehouse Agreement is hereby amended and restated in its entirety to read as follows:</w:t>
      </w:r>
    </w:p>
    <w:p>
      <w:pPr>
        <w:pStyle w:val="TextBody"/>
        <w:bidi w:val="0"/>
        <w:spacing w:before="239" w:after="283"/>
        <w:jc w:val="both"/>
        <w:rPr>
          <w:color w:val="000000"/>
        </w:rPr>
      </w:pPr>
      <w:r>
        <w:rPr>
          <w:color w:val="000000"/>
        </w:rPr>
        <w:t>“</w:t>
      </w:r>
      <w:r>
        <w:rPr>
          <w:rFonts w:ascii="Times New Roman" w:hAnsi="Times New Roman"/>
          <w:color w:val="000000"/>
          <w:sz w:val="24"/>
        </w:rPr>
        <w:t>The Servicer will provide a Quarterly Report to the Administrative Agent and each Hedge Counterparty, within ten (10) Business Days after the end of each calendar quarter, or more frequently as required to comply with Applicable Law or regulator requests.”</w:t>
      </w:r>
    </w:p>
    <w:p>
      <w:pPr>
        <w:pStyle w:val="TextBody"/>
        <w:bidi w:val="0"/>
        <w:spacing w:before="240" w:after="283"/>
        <w:jc w:val="both"/>
        <w:rPr>
          <w:rFonts w:ascii="Cambria" w:hAnsi="Cambria"/>
          <w:color w:val="000000"/>
          <w:sz w:val="24"/>
        </w:rPr>
      </w:pPr>
      <w:r>
        <w:rPr>
          <w:rFonts w:ascii="Cambria" w:hAnsi="Cambria"/>
          <w:color w:val="000000"/>
          <w:sz w:val="24"/>
        </w:rPr>
        <w:t>1.5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Clause (xix)(c) of Section 9.01(a) of the Warehouse Agreement is hereby amended and restated in its entirety to read as follows:</w:t>
      </w:r>
    </w:p>
    <w:p>
      <w:pPr>
        <w:pStyle w:val="TextBody"/>
        <w:bidi w:val="0"/>
        <w:spacing w:before="239" w:after="283"/>
        <w:jc w:val="both"/>
        <w:rPr>
          <w:color w:val="000000"/>
        </w:rPr>
      </w:pPr>
      <w:r>
        <w:rPr>
          <w:color w:val="000000"/>
        </w:rPr>
        <w:t>“</w:t>
      </w:r>
      <w:r>
        <w:rPr>
          <w:rFonts w:ascii="Times New Roman" w:hAnsi="Times New Roman"/>
          <w:color w:val="000000"/>
          <w:sz w:val="24"/>
        </w:rPr>
        <w:t>(1) with respect to Payment Dates occurring in the months of April through October, the average Serviced Portfolio Annualized Net Loss Ratio for the related Collection Period and the two preceding Collection Periods exceeds [***]% and (2) with respect to all other Payment Dates, the average Serviced Portfolio Annualized Net Loss Ratio for the related Collection Period and the two preceding Collection Periods exceeds [***]%; provided however, with respect to the Payment Dates occurring in October 2025 and November 2025, the average Serviced Portfolio Annualized Net Loss Ratio for the related Collection Period and the two previous Collection Periods exceeds [***]%;”</w:t>
      </w:r>
    </w:p>
    <w:p>
      <w:pPr>
        <w:pStyle w:val="TextBody"/>
        <w:bidi w:val="0"/>
        <w:spacing w:before="239" w:after="283"/>
        <w:jc w:val="both"/>
        <w:rPr>
          <w:rFonts w:ascii="Times New Roman" w:hAnsi="Times New Roman"/>
          <w:sz w:val="20"/>
        </w:rPr>
      </w:pPr>
      <w:r>
        <w:rPr>
          <w:rFonts w:ascii="Cambria;serif" w:hAnsi="Cambria;serif"/>
          <w:color w:val="000000"/>
          <w:sz w:val="24"/>
        </w:rPr>
        <w:t xml:space="preserve">SECTION 2. </w:t>
      </w:r>
      <w:r>
        <w:rPr>
          <w:rFonts w:ascii="Times New Roman" w:hAnsi="Times New Roman"/>
          <w:color w:val="000000"/>
          <w:sz w:val="24"/>
          <w:u w:val="single"/>
        </w:rPr>
        <w:t>Effective Date</w:t>
      </w:r>
      <w:r>
        <w:rPr>
          <w:rFonts w:ascii="Times New Roman" w:hAnsi="Times New Roman"/>
          <w:color w:val="000000"/>
          <w:sz w:val="24"/>
        </w:rPr>
        <w:t>. This Amendment shall become effective as of October 9,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subject to the conditions precedent that the Administrative Agent shall have received the following:</w:t>
      </w:r>
    </w:p>
    <w:p>
      <w:pPr>
        <w:pStyle w:val="TextBody"/>
        <w:bidi w:val="0"/>
        <w:spacing w:before="239" w:after="283"/>
        <w:jc w:val="both"/>
        <w:rPr>
          <w:rFonts w:ascii="Cambria" w:hAnsi="Cambria"/>
          <w:color w:val="000000"/>
          <w:sz w:val="24"/>
        </w:rPr>
      </w:pPr>
      <w:r>
        <w:rPr>
          <w:rFonts w:ascii="Cambria" w:hAnsi="Cambria"/>
          <w:color w:val="000000"/>
          <w:sz w:val="24"/>
        </w:rPr>
        <w:t>2.1</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counterparts to this Amendment, duly executed by each of the parties hereto</w:t>
      </w:r>
    </w:p>
    <w:p>
      <w:pPr>
        <w:pStyle w:val="TextBody"/>
        <w:bidi w:val="0"/>
        <w:jc w:val="left"/>
        <w:rPr>
          <w:rFonts w:ascii="Times New Roman" w:hAnsi="Times New Roman"/>
          <w:color w:val="000000"/>
          <w:sz w:val="24"/>
        </w:rPr>
      </w:pPr>
      <w:r>
        <w:rPr>
          <w:rFonts w:ascii="Times New Roman" w:hAnsi="Times New Roman"/>
          <w:color w:val="000000"/>
          <w:sz w:val="24"/>
        </w:rPr>
        <w:t>and thereto;</w:t>
      </w:r>
    </w:p>
    <w:p>
      <w:pPr>
        <w:pStyle w:val="TextBody"/>
        <w:bidi w:val="0"/>
        <w:spacing w:before="241" w:after="283"/>
        <w:jc w:val="both"/>
        <w:rPr>
          <w:rFonts w:ascii="Cambria" w:hAnsi="Cambria"/>
          <w:color w:val="000000"/>
          <w:sz w:val="24"/>
        </w:rPr>
      </w:pPr>
      <w:r>
        <w:rPr>
          <w:rFonts w:ascii="Cambria" w:hAnsi="Cambria"/>
          <w:color w:val="000000"/>
          <w:sz w:val="24"/>
        </w:rPr>
        <w:t>2.2</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payment in full of all fees and expenses then due and payable to the</w:t>
      </w:r>
    </w:p>
    <w:p>
      <w:pPr>
        <w:pStyle w:val="TextBody"/>
        <w:bidi w:val="0"/>
        <w:jc w:val="left"/>
        <w:rPr>
          <w:rFonts w:ascii="Times New Roman" w:hAnsi="Times New Roman"/>
          <w:color w:val="000000"/>
          <w:sz w:val="24"/>
        </w:rPr>
      </w:pPr>
      <w:r>
        <w:rPr>
          <w:rFonts w:ascii="Times New Roman" w:hAnsi="Times New Roman"/>
          <w:color w:val="000000"/>
          <w:sz w:val="24"/>
        </w:rPr>
        <w:t>Administrative Agent and the Lenders (including reasonable attorney’s fees); and</w:t>
      </w:r>
    </w:p>
    <w:p>
      <w:pPr>
        <w:pStyle w:val="TextBody"/>
        <w:bidi w:val="0"/>
        <w:spacing w:before="238" w:after="283"/>
        <w:jc w:val="both"/>
        <w:rPr>
          <w:rFonts w:ascii="Cambria" w:hAnsi="Cambria"/>
          <w:color w:val="000000"/>
          <w:sz w:val="24"/>
        </w:rPr>
      </w:pPr>
      <w:r>
        <w:rPr>
          <w:rFonts w:ascii="Cambria" w:hAnsi="Cambria"/>
          <w:color w:val="000000"/>
          <w:sz w:val="24"/>
        </w:rPr>
        <w:t>2.3</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such other agreements, documents, instruments that the Administrative Agent may reasonably request prior to the date hereof.</w:t>
      </w:r>
    </w:p>
    <w:p>
      <w:pPr>
        <w:pStyle w:val="TextBody"/>
        <w:bidi w:val="0"/>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mbria;serif" w:hAnsi="Cambria;serif"/>
          <w:color w:val="000000"/>
          <w:sz w:val="24"/>
        </w:rPr>
        <w:t xml:space="preserve">SECTION 3. </w:t>
      </w:r>
      <w:r>
        <w:rPr>
          <w:rFonts w:ascii="Times New Roman" w:hAnsi="Times New Roman"/>
          <w:color w:val="000000"/>
          <w:sz w:val="24"/>
          <w:u w:val="single"/>
        </w:rPr>
        <w:t>Representations, Warranties and Covenants</w:t>
      </w:r>
      <w:r>
        <w:rPr>
          <w:rFonts w:ascii="Times New Roman" w:hAnsi="Times New Roman"/>
          <w:color w:val="000000"/>
          <w:sz w:val="24"/>
        </w:rPr>
        <w:t>.</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The Servicer and the Borrower each hereby reaffirm all of its covenants and other obligations under the Warehouse Agreement and the other Basic Documents.</w:t>
      </w:r>
    </w:p>
    <w:p>
      <w:pPr>
        <w:pStyle w:val="TextBody"/>
        <w:bidi w:val="0"/>
        <w:spacing w:before="241" w:after="283"/>
        <w:jc w:val="both"/>
        <w:rPr>
          <w:rFonts w:ascii="Cambria" w:hAnsi="Cambria"/>
          <w:color w:val="000000"/>
          <w:sz w:val="24"/>
        </w:rPr>
      </w:pPr>
      <w:r>
        <w:rPr>
          <w:rFonts w:ascii="Cambria" w:hAnsi="Cambria"/>
          <w:color w:val="000000"/>
          <w:sz w:val="24"/>
        </w:rPr>
        <w:t>3.1</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As of the date hereof, the Servicer and the Borrower each represent and warrant to Administrative Agent, each Lender and each other Secured Party (if any) that:</w:t>
      </w:r>
    </w:p>
    <w:p>
      <w:pPr>
        <w:pStyle w:val="TextBody"/>
        <w:bidi w:val="0"/>
        <w:spacing w:before="237" w:after="283"/>
        <w:jc w:val="both"/>
        <w:rPr>
          <w:rFonts w:ascii="Cambria" w:hAnsi="Cambria"/>
          <w:color w:val="000000"/>
          <w:sz w:val="24"/>
        </w:rPr>
      </w:pPr>
      <w:r>
        <w:rPr>
          <w:rFonts w:ascii="Cambria" w:hAnsi="Cambria"/>
          <w:color w:val="000000"/>
          <w:sz w:val="24"/>
        </w:rPr>
        <w:t>(a)</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the representations and warranties made by it in the Warehouse Agreement and each other Basic Document to which it is a party are true and correct in all material respects with the same effect as if made on and as of the date hereof except representations and warranties made solely as of a stated date and then as of such stated date;</w:t>
      </w:r>
    </w:p>
    <w:p>
      <w:pPr>
        <w:pStyle w:val="TextBody"/>
        <w:bidi w:val="0"/>
        <w:spacing w:before="239" w:after="283"/>
        <w:jc w:val="both"/>
        <w:rPr>
          <w:rFonts w:ascii="Cambria" w:hAnsi="Cambria"/>
          <w:color w:val="000000"/>
          <w:sz w:val="24"/>
        </w:rPr>
      </w:pPr>
      <w:r>
        <w:rPr>
          <w:rFonts w:ascii="Cambria" w:hAnsi="Cambria"/>
          <w:color w:val="000000"/>
          <w:sz w:val="24"/>
        </w:rPr>
        <w:t>(b)</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no Unmatured Termination Event, Termination Event, Unmatured Servicer Termination Event or Servicer Termination Event exists or, after giving effect to the amendments contained herein, will result from the execution of this Amendment; and</w:t>
      </w:r>
    </w:p>
    <w:p>
      <w:pPr>
        <w:pStyle w:val="TextBody"/>
        <w:bidi w:val="0"/>
        <w:spacing w:before="240" w:after="283"/>
        <w:jc w:val="both"/>
        <w:rPr>
          <w:rFonts w:ascii="Cambria" w:hAnsi="Cambria"/>
          <w:color w:val="000000"/>
          <w:sz w:val="24"/>
        </w:rPr>
      </w:pPr>
      <w:r>
        <w:rPr>
          <w:rFonts w:ascii="Cambria" w:hAnsi="Cambria"/>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Amendment has been duly authorized by proper proceedings of such party and constitutes the legal, valid and binding obligation of such party enforceable against such party in accordance with its terms, except as enforceability may be limited by applicable bankruptcy, insolvency, reorganization, moratorium or similar Laws affecting creditors’ rights generally and by general principles of equity.</w:t>
      </w:r>
    </w:p>
    <w:p>
      <w:pPr>
        <w:pStyle w:val="TextBody"/>
        <w:bidi w:val="0"/>
        <w:spacing w:before="237" w:after="283"/>
        <w:jc w:val="left"/>
        <w:rPr>
          <w:rFonts w:ascii="Times New Roman" w:hAnsi="Times New Roman"/>
          <w:sz w:val="20"/>
        </w:rPr>
      </w:pPr>
      <w:r>
        <w:rPr>
          <w:rFonts w:ascii="Cambria;serif" w:hAnsi="Cambria;serif"/>
          <w:color w:val="000000"/>
          <w:sz w:val="24"/>
        </w:rPr>
        <w:t xml:space="preserve">SECTION 4. </w:t>
      </w:r>
      <w:r>
        <w:rPr>
          <w:rFonts w:ascii="Times New Roman" w:hAnsi="Times New Roman"/>
          <w:color w:val="000000"/>
          <w:sz w:val="24"/>
          <w:u w:val="single"/>
        </w:rPr>
        <w:t>Effect on the Warehouse Agreement</w:t>
      </w:r>
      <w:r>
        <w:rPr>
          <w:rFonts w:ascii="Times New Roman" w:hAnsi="Times New Roman"/>
          <w:color w:val="000000"/>
          <w:sz w:val="24"/>
        </w:rPr>
        <w:t>.</w:t>
      </w:r>
    </w:p>
    <w:p>
      <w:pPr>
        <w:pStyle w:val="TextBody"/>
        <w:bidi w:val="0"/>
        <w:spacing w:before="239" w:after="283"/>
        <w:jc w:val="both"/>
        <w:rPr>
          <w:rFonts w:ascii="Cambria" w:hAnsi="Cambria"/>
          <w:color w:val="000000"/>
          <w:sz w:val="24"/>
        </w:rPr>
      </w:pPr>
      <w:r>
        <w:rPr>
          <w:rFonts w:ascii="Cambria" w:hAnsi="Cambria"/>
          <w:color w:val="000000"/>
          <w:sz w:val="24"/>
        </w:rPr>
        <w:t>4.1</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On and after the date hereof, each reference in the Warehouse Agreement to “this Warehouse Agreement”, “this Agreement”, “hereunder”, “hereof”, “herein” or words of like import, and all references to the Warehouse Agreement in any and all other agreements, instruments, documents, notes, certificates and other writings of every kind and nature shall be deemed to mean and be a reference to the Warehouse Agreement as amended hereby. The Warehouse Agreement and other documents, instruments and agreements executed and/or delivered in connection therewith shall remain in full force and effect and are hereby ratified and confirmed.</w:t>
      </w:r>
    </w:p>
    <w:p>
      <w:pPr>
        <w:pStyle w:val="TextBody"/>
        <w:bidi w:val="0"/>
        <w:spacing w:before="237" w:after="283"/>
        <w:jc w:val="both"/>
        <w:rPr>
          <w:rFonts w:ascii="Cambria" w:hAnsi="Cambria"/>
          <w:color w:val="000000"/>
          <w:sz w:val="24"/>
        </w:rPr>
      </w:pPr>
      <w:r>
        <w:rPr>
          <w:rFonts w:ascii="Cambria" w:hAnsi="Cambria"/>
          <w:color w:val="000000"/>
          <w:sz w:val="24"/>
        </w:rPr>
        <w:t>4.2</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The execution, delivery and effectiveness of this Amendment shall not operate as a waiver of any right, power or remedy of any Secured Party under the Warehouse Agreement or any of the other Basic Documents, nor constitute a waiver of any provision contained therein, except as specifically set forth herein.</w:t>
      </w:r>
    </w:p>
    <w:p>
      <w:pPr>
        <w:pStyle w:val="TextBody"/>
        <w:bidi w:val="0"/>
        <w:spacing w:before="240" w:after="283"/>
        <w:jc w:val="both"/>
        <w:rPr>
          <w:rFonts w:ascii="Cambria" w:hAnsi="Cambria"/>
          <w:color w:val="000000"/>
          <w:sz w:val="24"/>
        </w:rPr>
      </w:pPr>
      <w:r>
        <w:rPr>
          <w:rFonts w:ascii="Cambria" w:hAnsi="Cambria"/>
          <w:color w:val="000000"/>
          <w:sz w:val="24"/>
        </w:rPr>
        <w:t>4.3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party hereto agrees and acknowledges that this Amendment constitutes a “Basic Document” under and as defined in the Warehouse Agreement.</w:t>
      </w:r>
    </w:p>
    <w:p>
      <w:pPr>
        <w:pStyle w:val="TextBody"/>
        <w:bidi w:val="0"/>
        <w:jc w:val="left"/>
        <w:rPr/>
      </w:pPr>
      <w:r>
        <w:rPr/>
        <w:t> </w:t>
      </w:r>
    </w:p>
    <w:p>
      <w:pPr>
        <w:pStyle w:val="TextBody"/>
        <w:bidi w:val="0"/>
        <w:spacing w:before="9"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283"/>
        <w:jc w:val="left"/>
        <w:rPr/>
      </w:pPr>
      <w:r>
        <w:rPr/>
        <w:t> </w:t>
      </w:r>
    </w:p>
    <w:p>
      <w:pPr>
        <w:pStyle w:val="TextBody"/>
        <w:bidi w:val="0"/>
        <w:spacing w:before="239" w:after="283"/>
        <w:jc w:val="left"/>
        <w:rPr>
          <w:rFonts w:ascii="Times New Roman" w:hAnsi="Times New Roman"/>
          <w:sz w:val="20"/>
        </w:rPr>
      </w:pPr>
      <w:r>
        <w:rPr>
          <w:rFonts w:ascii="Cambria;serif" w:hAnsi="Cambria;serif"/>
          <w:color w:val="000000"/>
          <w:sz w:val="24"/>
        </w:rPr>
        <w:t xml:space="preserve">SECTION 5. </w:t>
      </w:r>
      <w:r>
        <w:rPr>
          <w:rFonts w:ascii="Times New Roman" w:hAnsi="Times New Roman"/>
          <w:color w:val="000000"/>
          <w:sz w:val="24"/>
          <w:u w:val="single"/>
        </w:rPr>
        <w:t>GOVERNING LAW</w:t>
      </w:r>
      <w:r>
        <w:rPr>
          <w:rFonts w:ascii="Times New Roman" w:hAnsi="Times New Roman"/>
          <w:color w:val="000000"/>
          <w:sz w:val="24"/>
        </w:rPr>
        <w:t>.</w:t>
      </w:r>
    </w:p>
    <w:p>
      <w:pPr>
        <w:pStyle w:val="TextBody"/>
        <w:bidi w:val="0"/>
        <w:spacing w:before="237" w:after="283"/>
        <w:jc w:val="both"/>
        <w:rPr>
          <w:rFonts w:ascii="Cambria" w:hAnsi="Cambria"/>
          <w:color w:val="000000"/>
          <w:sz w:val="24"/>
        </w:rPr>
      </w:pPr>
      <w:r>
        <w:rPr>
          <w:rFonts w:ascii="Cambria" w:hAnsi="Cambria"/>
          <w:color w:val="000000"/>
          <w:sz w:val="24"/>
        </w:rPr>
        <w:t>5.1</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THIS AMENDMENT SHALL BE GOVERNED BY AND CONSTRUED IN ACCORDANCE WITH THE LAWS OF THE STATE OF NEW YORK, WITHOUT REFERENCE TO ITS CONFLICT OF LAW PROVISIONS (OTHER THAN SECTIONS 5- 1401 AND 5-1402 OF THE NEW YORK GENERAL OBLIGATIONS LAW).</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EACH OF THE PARTIES HERETO HEREBY WAIVES ANY RIGHT TO HAVE A JURY PARTICIPATE IN RESOLVING ANY DISPUTE, WHETHER SOUNDING IN CONTRACT, TORT OR OTHERWISE ARISING OUT OF, CONNECTED WITH, RELATING TO OR INCIDENTAL TO THE TRANSACTIONS CONTEMPLATED BY THIS AMENDMENT OR THE OTHER BASIC DOCUMENTS.</w:t>
      </w:r>
    </w:p>
    <w:p>
      <w:pPr>
        <w:pStyle w:val="TextBody"/>
        <w:bidi w:val="0"/>
        <w:spacing w:before="241" w:after="283"/>
        <w:jc w:val="both"/>
        <w:rPr>
          <w:rFonts w:ascii="Times New Roman" w:hAnsi="Times New Roman"/>
          <w:sz w:val="20"/>
        </w:rPr>
      </w:pPr>
      <w:r>
        <w:rPr>
          <w:rFonts w:ascii="Cambria;serif" w:hAnsi="Cambria;serif"/>
          <w:color w:val="000000"/>
          <w:sz w:val="24"/>
        </w:rPr>
        <w:t xml:space="preserve">SECTION 6. </w:t>
      </w:r>
      <w:r>
        <w:rPr>
          <w:rFonts w:ascii="Times New Roman" w:hAnsi="Times New Roman"/>
          <w:color w:val="000000"/>
          <w:sz w:val="24"/>
          <w:u w:val="single"/>
        </w:rPr>
        <w:t>SUBMISSION TO JURISDICTION</w:t>
      </w:r>
      <w:r>
        <w:rPr>
          <w:rFonts w:ascii="Times New Roman" w:hAnsi="Times New Roman"/>
          <w:color w:val="000000"/>
          <w:sz w:val="24"/>
        </w:rPr>
        <w:t>. EACH PARTY HERETO HEREBY SUBMITS TO THE NON-EXCLUSIVE JURISDICTION OF THE COURTS OF THE STATE OF NEW YORK AND OF ANY FEDERAL COURT LOCATED IN THE STATE OF NEW YORK (OR ANY APPELLATE COURT FROM ANY THEREOF) IN ANY ACTION OR PROCEEDING ARISING OUT OF OR RELATING TO THIS AMENDMENT OR THE TRANSACTIONS CONTEMPLATED HEREBY. EACH PARTY HERETO HEREBY IRREVOCABLY WAIVES ANY OBJECTION THAT IT MAY HAVE TO THE LAYING OF VENUE OF ANY SUCH PROCEEDING AND ANY CLAIM THAT ANY SUCH PROCEEDING HAS BEEN BROUGHT IN AN INCONVENIENT FORUM. EACH PARTY HERETO HEREBY WAIVES PERSONAL SERVICE OF ANY SUMMONS, COMPLAINT OR OTHER PROCESS, WHICH MAY BE MADE BY ANY OTHER MEANS PERMITTED BY NEW YORK LAW.</w:t>
      </w:r>
    </w:p>
    <w:p>
      <w:pPr>
        <w:pStyle w:val="TextBody"/>
        <w:bidi w:val="0"/>
        <w:spacing w:before="237" w:after="283"/>
        <w:jc w:val="both"/>
        <w:rPr>
          <w:rFonts w:ascii="Times New Roman" w:hAnsi="Times New Roman"/>
          <w:sz w:val="20"/>
        </w:rPr>
      </w:pPr>
      <w:r>
        <w:rPr>
          <w:rFonts w:ascii="Cambria;serif" w:hAnsi="Cambria;serif"/>
          <w:color w:val="000000"/>
          <w:sz w:val="24"/>
        </w:rPr>
        <w:t xml:space="preserve">SECTION 7. </w:t>
      </w:r>
      <w:r>
        <w:rPr>
          <w:rFonts w:ascii="Times New Roman" w:hAnsi="Times New Roman"/>
          <w:color w:val="000000"/>
          <w:sz w:val="24"/>
          <w:u w:val="single"/>
        </w:rPr>
        <w:t>Execution in Counterparts</w:t>
      </w:r>
      <w:r>
        <w:rPr>
          <w:rFonts w:ascii="Times New Roman" w:hAnsi="Times New Roman"/>
          <w:color w:val="000000"/>
          <w:sz w:val="24"/>
        </w:rPr>
        <w:t>. This Amendment may be executed in any number of counterparts and by different parties hereto in separate counterparts, each of which when so executed shall be deemed to be an original and all of which when taken together shall constitute one and the same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Delivery of an executed counterpart to this Amendment by facsimile or other electronic method of transmission shall be as effective as delivery of a manually-executed counterpart thereof.</w:t>
      </w:r>
    </w:p>
    <w:p>
      <w:pPr>
        <w:pStyle w:val="TextBody"/>
        <w:bidi w:val="0"/>
        <w:spacing w:before="240" w:after="283"/>
        <w:jc w:val="both"/>
        <w:rPr>
          <w:rFonts w:ascii="Times New Roman" w:hAnsi="Times New Roman"/>
          <w:sz w:val="20"/>
        </w:rPr>
      </w:pPr>
      <w:r>
        <w:rPr>
          <w:rFonts w:ascii="Cambria;serif" w:hAnsi="Cambria;serif"/>
          <w:color w:val="000000"/>
          <w:sz w:val="24"/>
        </w:rPr>
        <w:t xml:space="preserve">SECTION 8. </w:t>
      </w:r>
      <w:r>
        <w:rPr>
          <w:rFonts w:ascii="Times New Roman" w:hAnsi="Times New Roman"/>
          <w:color w:val="000000"/>
          <w:sz w:val="24"/>
          <w:u w:val="single"/>
        </w:rPr>
        <w:t>Successors and Assigns</w:t>
      </w:r>
      <w:r>
        <w:rPr>
          <w:rFonts w:ascii="Times New Roman" w:hAnsi="Times New Roman"/>
          <w:color w:val="000000"/>
          <w:sz w:val="24"/>
        </w:rPr>
        <w:t>. This Amendment shall be binding upon and shall inure to the benefit of each party hereto and their respective successors and assigns.</w:t>
      </w:r>
    </w:p>
    <w:p>
      <w:pPr>
        <w:pStyle w:val="TextBody"/>
        <w:bidi w:val="0"/>
        <w:spacing w:before="237" w:after="283"/>
        <w:jc w:val="both"/>
        <w:rPr>
          <w:rFonts w:ascii="Times New Roman" w:hAnsi="Times New Roman"/>
          <w:sz w:val="20"/>
        </w:rPr>
      </w:pPr>
      <w:r>
        <w:rPr>
          <w:rFonts w:ascii="Cambria;serif" w:hAnsi="Cambria;serif"/>
          <w:color w:val="000000"/>
          <w:sz w:val="24"/>
        </w:rPr>
        <w:t xml:space="preserve">SECTION 9. </w:t>
      </w:r>
      <w:r>
        <w:rPr>
          <w:rFonts w:ascii="Times New Roman" w:hAnsi="Times New Roman"/>
          <w:color w:val="000000"/>
          <w:sz w:val="24"/>
          <w:u w:val="single"/>
        </w:rPr>
        <w:t>Headings</w:t>
      </w:r>
      <w:r>
        <w:rPr>
          <w:rFonts w:ascii="Times New Roman" w:hAnsi="Times New Roman"/>
          <w:color w:val="000000"/>
          <w:sz w:val="24"/>
        </w:rPr>
        <w:t>. The headings herein are for purposes of reference only and shall not otherwise affect the meaning or interpretation of any provision hereof.</w:t>
      </w:r>
    </w:p>
    <w:p>
      <w:pPr>
        <w:pStyle w:val="TextBody"/>
        <w:bidi w:val="0"/>
        <w:jc w:val="left"/>
        <w:rPr/>
      </w:pPr>
      <w:r>
        <w:rPr/>
        <w:t> </w:t>
      </w:r>
    </w:p>
    <w:p>
      <w:pPr>
        <w:pStyle w:val="TextBody"/>
        <w:bidi w:val="0"/>
        <w:spacing w:before="9"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sz w:val="20"/>
        </w:rPr>
      </w:pPr>
      <w:r>
        <w:rPr>
          <w:rFonts w:ascii="Cambria;serif" w:hAnsi="Cambria;serif"/>
          <w:color w:val="000000"/>
          <w:sz w:val="24"/>
        </w:rPr>
        <w:t xml:space="preserve">SECTION 10. </w:t>
      </w:r>
      <w:r>
        <w:rPr>
          <w:rFonts w:ascii="Times New Roman" w:hAnsi="Times New Roman"/>
          <w:color w:val="000000"/>
          <w:sz w:val="24"/>
          <w:u w:val="single"/>
        </w:rPr>
        <w:t>Severability of Provisions</w:t>
      </w:r>
      <w:r>
        <w:rPr>
          <w:rFonts w:ascii="Times New Roman" w:hAnsi="Times New Roman"/>
          <w:color w:val="000000"/>
          <w:sz w:val="24"/>
        </w:rPr>
        <w:t>. If any one or more provisions of this Amendment shall for any reason be held invalid, then such provisions shall be deemed severable from the remaining provisions of this Amendment and shall in no way affect the validity or enforceability of other provisions of this Amendment.</w:t>
      </w:r>
    </w:p>
    <w:p>
      <w:pPr>
        <w:pStyle w:val="TextBody"/>
        <w:bidi w:val="0"/>
        <w:spacing w:before="240" w:after="283"/>
        <w:jc w:val="both"/>
        <w:rPr>
          <w:rFonts w:ascii="Times New Roman" w:hAnsi="Times New Roman"/>
          <w:sz w:val="20"/>
        </w:rPr>
      </w:pPr>
      <w:r>
        <w:rPr>
          <w:rFonts w:ascii="Cambria;serif" w:hAnsi="Cambria;serif"/>
          <w:color w:val="000000"/>
          <w:sz w:val="24"/>
        </w:rPr>
        <w:t xml:space="preserve">SECTION 11. </w:t>
      </w:r>
      <w:r>
        <w:rPr>
          <w:rFonts w:ascii="Times New Roman" w:hAnsi="Times New Roman"/>
          <w:color w:val="000000"/>
          <w:sz w:val="24"/>
          <w:u w:val="single"/>
        </w:rPr>
        <w:t>Expenses</w:t>
      </w:r>
      <w:r>
        <w:rPr>
          <w:rFonts w:ascii="Times New Roman" w:hAnsi="Times New Roman"/>
          <w:color w:val="000000"/>
          <w:sz w:val="24"/>
        </w:rPr>
        <w:t>. The provisions set forth in Section 14.08 of the Warehouse Agreement with respect to costs and expenses shall apply to this Amendment as if such provisions were fully set forth herein.</w:t>
      </w:r>
    </w:p>
    <w:p>
      <w:pPr>
        <w:pStyle w:val="TextBody"/>
        <w:bidi w:val="0"/>
        <w:spacing w:before="237" w:after="283"/>
        <w:jc w:val="both"/>
        <w:rPr>
          <w:rFonts w:ascii="Times New Roman" w:hAnsi="Times New Roman"/>
          <w:sz w:val="20"/>
        </w:rPr>
      </w:pPr>
      <w:r>
        <w:rPr>
          <w:rFonts w:ascii="Cambria;serif" w:hAnsi="Cambria;serif"/>
          <w:color w:val="000000"/>
          <w:sz w:val="24"/>
        </w:rPr>
        <w:t xml:space="preserve">SECTION 12. </w:t>
      </w:r>
      <w:r>
        <w:rPr>
          <w:rFonts w:ascii="Times New Roman" w:hAnsi="Times New Roman"/>
          <w:color w:val="000000"/>
          <w:sz w:val="24"/>
          <w:u w:val="single"/>
        </w:rPr>
        <w:t>Waiver of Prior Notice</w:t>
      </w:r>
      <w:r>
        <w:rPr>
          <w:rFonts w:ascii="Times New Roman" w:hAnsi="Times New Roman"/>
          <w:color w:val="000000"/>
          <w:sz w:val="24"/>
        </w:rPr>
        <w:t>. The Certificateholder hereby waives its rights under Section 4.1(b) of the Trust Agreement to receive prior written notice, and the Certificateholder and the Administrative Agent hereby consent to this Amendment.</w:t>
      </w:r>
    </w:p>
    <w:p>
      <w:pPr>
        <w:pStyle w:val="TextBody"/>
        <w:bidi w:val="0"/>
        <w:spacing w:before="80" w:after="283"/>
        <w:jc w:val="both"/>
        <w:rPr>
          <w:rFonts w:ascii="Times New Roman" w:hAnsi="Times New Roman"/>
          <w:sz w:val="20"/>
        </w:rPr>
      </w:pPr>
      <w:r>
        <w:rPr>
          <w:rFonts w:ascii="Cambria;serif" w:hAnsi="Cambria;serif"/>
          <w:color w:val="000000"/>
          <w:sz w:val="24"/>
        </w:rPr>
        <w:t xml:space="preserve">SECTION 13. </w:t>
      </w:r>
      <w:r>
        <w:rPr>
          <w:rFonts w:ascii="Times New Roman" w:hAnsi="Times New Roman"/>
          <w:color w:val="000000"/>
          <w:sz w:val="24"/>
          <w:u w:val="single"/>
        </w:rPr>
        <w:t>Limitation of Liability of Owner Trustee</w:t>
      </w:r>
      <w:r>
        <w:rPr>
          <w:rFonts w:ascii="Times New Roman" w:hAnsi="Times New Roman"/>
          <w:color w:val="000000"/>
          <w:sz w:val="24"/>
        </w:rPr>
        <w:t>. It is expressly understood and agreed by the parties hereto that (i) this Amendment is executed and delivered by Wells Fargo Delaware, not individually or personally but solely as Owner Trustee of the Borrower, in the exercise of the powers and authority conferred and vested in it, (ii) each of the representations, undertakings and agreements herein made on the part of the Borrower is made and intended not as personal representations, undertakings and agreements by Wells Fargo Delaware, but is made and intended for the purpose for binding only the Borrower, (iii) nothing herein contained shall be construed as creating any liability on Wells Fargo Delaware, individually or personally, to perform any covenant either expressed or implied contained herein, all such liability, if any, being expressly waived by the parties hereto and by any Person claiming by, through or under the parties hereto,</w:t>
      </w:r>
    </w:p>
    <w:p>
      <w:pPr>
        <w:pStyle w:val="TextBody"/>
        <w:bidi w:val="0"/>
        <w:jc w:val="both"/>
        <w:rPr>
          <w:rFonts w:ascii="Times New Roman" w:hAnsi="Times New Roman"/>
          <w:color w:val="000000"/>
          <w:sz w:val="24"/>
        </w:rPr>
      </w:pPr>
      <w:r>
        <w:rPr>
          <w:rFonts w:ascii="Times New Roman" w:hAnsi="Times New Roman"/>
          <w:color w:val="000000"/>
          <w:sz w:val="24"/>
        </w:rPr>
        <w:t>(iv) Wells Fargo Delaware has made no investigation as to the accuracy or completeness of any representations and warranties made by the Borrower in this Amendment and (v) under no circumstances shall Wells Fargo Delaware be personally liable for the payment of any indebtedness or expenses of the Borrower or be liable for the breach or failure of any obligation, representation, warranty or covenant made or undertaken by the Borrower under this Amendment or the Warehouse Agreement.</w:t>
      </w:r>
    </w:p>
    <w:p>
      <w:pPr>
        <w:pStyle w:val="TextBody"/>
        <w:bidi w:val="0"/>
        <w:spacing w:before="236" w:after="283"/>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jc w:val="left"/>
        <w:rPr/>
      </w:pPr>
      <w:r>
        <w:rPr/>
        <w:t> </w:t>
      </w:r>
    </w:p>
    <w:p>
      <w:pPr>
        <w:pStyle w:val="TextBody"/>
        <w:bidi w:val="0"/>
        <w:spacing w:before="9"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4" w:after="283"/>
        <w:jc w:val="both"/>
        <w:rPr>
          <w:rFonts w:ascii="Times New Roman" w:hAnsi="Times New Roman"/>
          <w:color w:val="000000"/>
          <w:sz w:val="24"/>
        </w:rPr>
      </w:pPr>
      <w:r>
        <w:rPr>
          <w:rFonts w:ascii="Times New Roman" w:hAnsi="Times New Roman"/>
          <w:color w:val="000000"/>
          <w:sz w:val="24"/>
        </w:rPr>
        <w:t>IN WITNESS WHEREOF, the parties hereto have caused this Amendment to be executed on the date first set forth above by their respective officers thereto duly authorized, to be effective as hereinabove provided.</w:t>
      </w:r>
    </w:p>
    <w:p>
      <w:pPr>
        <w:pStyle w:val="TextBody"/>
        <w:bidi w:val="0"/>
        <w:jc w:val="left"/>
        <w:rPr/>
      </w:pPr>
      <w:r>
        <w:rPr/>
        <w:t> </w:t>
      </w:r>
    </w:p>
    <w:p>
      <w:pPr>
        <w:pStyle w:val="TextBody"/>
        <w:bidi w:val="0"/>
        <w:spacing w:before="3" w:after="283"/>
        <w:jc w:val="left"/>
        <w:rPr/>
      </w:pPr>
      <w:r>
        <w:rPr/>
        <w:t> </w:t>
      </w:r>
    </w:p>
    <w:p>
      <w:pPr>
        <w:pStyle w:val="Heading1"/>
        <w:bidi w:val="0"/>
        <w:jc w:val="left"/>
        <w:rPr>
          <w:rFonts w:ascii="Times New Roman" w:hAnsi="Times New Roman"/>
          <w:sz w:val="20"/>
        </w:rPr>
      </w:pPr>
      <w:r>
        <w:rPr>
          <w:rFonts w:ascii="Times New Roman" w:hAnsi="Times New Roman"/>
          <w:color w:val="000000"/>
          <w:sz w:val="24"/>
        </w:rPr>
        <w:t>UACC AUTO FINANCING TRUST V</w:t>
      </w:r>
      <w:r>
        <w:rPr>
          <w:rFonts w:ascii="Times New Roman" w:hAnsi="Times New Roman"/>
          <w:b w:val="false"/>
          <w:color w:val="000000"/>
          <w:sz w:val="24"/>
        </w:rPr>
        <w:t>, as</w:t>
      </w:r>
    </w:p>
    <w:p>
      <w:pPr>
        <w:pStyle w:val="TextBody"/>
        <w:bidi w:val="0"/>
        <w:jc w:val="left"/>
        <w:rPr>
          <w:rFonts w:ascii="Times New Roman" w:hAnsi="Times New Roman"/>
          <w:color w:val="000000"/>
          <w:sz w:val="24"/>
        </w:rPr>
      </w:pPr>
      <w:r>
        <w:rPr>
          <w:rFonts w:ascii="Times New Roman" w:hAnsi="Times New Roman"/>
          <w:color w:val="000000"/>
          <w:sz w:val="24"/>
        </w:rPr>
        <w:t>Borrower</w:t>
      </w:r>
    </w:p>
    <w:p>
      <w:pPr>
        <w:pStyle w:val="TextBody"/>
        <w:bidi w:val="0"/>
        <w:spacing w:before="268" w:after="283"/>
        <w:jc w:val="left"/>
        <w:rPr>
          <w:rFonts w:ascii="Times New Roman" w:hAnsi="Times New Roman"/>
          <w:color w:val="000000"/>
          <w:sz w:val="24"/>
        </w:rPr>
      </w:pPr>
      <w:r>
        <w:rPr>
          <w:rFonts w:ascii="Times New Roman" w:hAnsi="Times New Roman"/>
          <w:color w:val="000000"/>
          <w:sz w:val="24"/>
        </w:rPr>
        <w:t>By: [***], not in its</w:t>
      </w:r>
    </w:p>
    <w:p>
      <w:pPr>
        <w:pStyle w:val="TextBody"/>
        <w:bidi w:val="0"/>
        <w:jc w:val="left"/>
        <w:rPr>
          <w:rFonts w:ascii="Times New Roman" w:hAnsi="Times New Roman"/>
          <w:color w:val="000000"/>
          <w:sz w:val="24"/>
        </w:rPr>
      </w:pPr>
      <w:r>
        <w:rPr>
          <w:rFonts w:ascii="Times New Roman" w:hAnsi="Times New Roman"/>
          <w:color w:val="000000"/>
          <w:sz w:val="24"/>
        </w:rPr>
        <w:t>individual capacity but solely as Owner Trustee</w:t>
      </w:r>
    </w:p>
    <w:p>
      <w:pPr>
        <w:pStyle w:val="TextBody"/>
        <w:bidi w:val="0"/>
        <w:spacing w:before="268" w:after="283"/>
        <w:jc w:val="left"/>
        <w:rPr>
          <w:rFonts w:ascii="Times New Roman" w:hAnsi="Times New Roman"/>
          <w:color w:val="000000"/>
          <w:sz w:val="24"/>
        </w:rPr>
      </w:pPr>
      <w:r>
        <w:rPr>
          <w:rFonts w:ascii="Times New Roman" w:hAnsi="Times New Roman"/>
          <w:color w:val="000000"/>
          <w:sz w:val="24"/>
        </w:rPr>
        <w:t>By: Computershare Delaware Trust Company, as its attorney-in-fact</w:t>
      </w:r>
    </w:p>
    <w:p>
      <w:pPr>
        <w:pStyle w:val="TextBody"/>
        <w:bidi w:val="0"/>
        <w:jc w:val="left"/>
        <w:rPr/>
      </w:pPr>
      <w:r>
        <w:rPr/>
        <w:t> </w:t>
      </w:r>
    </w:p>
    <w:p>
      <w:pPr>
        <w:pStyle w:val="TextBody"/>
        <w:bidi w:val="0"/>
        <w:jc w:val="left"/>
        <w:rPr/>
      </w:pPr>
      <w:r>
        <w:rPr/>
        <w:t> </w:t>
      </w:r>
    </w:p>
    <w:p>
      <w:pPr>
        <w:pStyle w:val="TextBody"/>
        <w:bidi w:val="0"/>
        <w:spacing w:before="9"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By: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Name: [***]</w:t>
      </w:r>
    </w:p>
    <w:p>
      <w:pPr>
        <w:pStyle w:val="TextBody"/>
        <w:bidi w:val="0"/>
        <w:spacing w:before="90" w:after="283"/>
        <w:jc w:val="left"/>
        <w:rPr>
          <w:rFonts w:ascii="Times New Roman" w:hAnsi="Times New Roman"/>
          <w:color w:val="000000"/>
          <w:sz w:val="24"/>
        </w:rPr>
      </w:pPr>
      <w:r>
        <w:rPr>
          <w:rFonts w:ascii="Times New Roman" w:hAnsi="Times New Roman"/>
          <w:color w:val="000000"/>
          <w:sz w:val="24"/>
        </w:rPr>
        <w:t>Title: [***]</w:t>
      </w:r>
    </w:p>
    <w:p>
      <w:pPr>
        <w:pStyle w:val="TextBody"/>
        <w:bidi w:val="0"/>
        <w:jc w:val="left"/>
        <w:rPr/>
      </w:pPr>
      <w:r>
        <w:rPr/>
        <w:t> </w:t>
      </w:r>
    </w:p>
    <w:p>
      <w:pPr>
        <w:pStyle w:val="TextBody"/>
        <w:bidi w:val="0"/>
        <w:jc w:val="left"/>
        <w:rPr/>
      </w:pPr>
      <w:r>
        <w:rPr/>
        <w:t> </w:t>
      </w:r>
    </w:p>
    <w:p>
      <w:pPr>
        <w:pStyle w:val="TextBody"/>
        <w:bidi w:val="0"/>
        <w:spacing w:before="188" w:after="283"/>
        <w:jc w:val="left"/>
        <w:rPr/>
      </w:pPr>
      <w:r>
        <w:rPr/>
        <w:t> </w:t>
      </w:r>
    </w:p>
    <w:p>
      <w:pPr>
        <w:pStyle w:val="Heading1"/>
        <w:bidi w:val="0"/>
        <w:jc w:val="left"/>
        <w:rPr>
          <w:rFonts w:ascii="Times New Roman" w:hAnsi="Times New Roman"/>
          <w:sz w:val="20"/>
        </w:rPr>
      </w:pPr>
      <w:r>
        <w:rPr>
          <w:rFonts w:ascii="Times New Roman" w:hAnsi="Times New Roman"/>
          <w:color w:val="000000"/>
          <w:sz w:val="24"/>
        </w:rPr>
        <w:t>UNITED AUTO CREDIT CORPORATION</w:t>
      </w:r>
      <w:r>
        <w:rPr>
          <w:rFonts w:ascii="Times New Roman" w:hAnsi="Times New Roman"/>
          <w:b w:val="false"/>
          <w:color w:val="000000"/>
          <w:sz w:val="24"/>
        </w:rPr>
        <w:t>, as</w:t>
      </w:r>
    </w:p>
    <w:p>
      <w:pPr>
        <w:pStyle w:val="TextBody"/>
        <w:bidi w:val="0"/>
        <w:spacing w:before="12" w:after="283"/>
        <w:jc w:val="left"/>
        <w:rPr>
          <w:rFonts w:ascii="Times New Roman" w:hAnsi="Times New Roman"/>
          <w:color w:val="000000"/>
          <w:sz w:val="24"/>
        </w:rPr>
      </w:pPr>
      <w:r>
        <w:rPr>
          <w:rFonts w:ascii="Times New Roman" w:hAnsi="Times New Roman"/>
          <w:color w:val="000000"/>
          <w:sz w:val="24"/>
        </w:rPr>
        <w:t>Servicer, Custodian and Certificateholder</w:t>
      </w:r>
    </w:p>
    <w:p>
      <w:pPr>
        <w:pStyle w:val="TextBody"/>
        <w:bidi w:val="0"/>
        <w:spacing w:before="264"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12" w:after="283"/>
        <w:jc w:val="left"/>
        <w:rPr>
          <w:rFonts w:ascii="Times New Roman" w:hAnsi="Times New Roman"/>
          <w:color w:val="000000"/>
          <w:sz w:val="24"/>
        </w:rPr>
      </w:pPr>
      <w:r>
        <w:rPr>
          <w:rFonts w:ascii="Times New Roman" w:hAnsi="Times New Roman"/>
          <w:color w:val="000000"/>
          <w:sz w:val="24"/>
        </w:rPr>
        <w:t>Name: Jon Sandison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pPr>
      <w:r>
        <w:rPr/>
        <w:t> </w:t>
      </w:r>
    </w:p>
    <w:p>
      <w:pPr>
        <w:pStyle w:val="TextBody"/>
        <w:bidi w:val="0"/>
        <w:spacing w:before="9"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4" w:after="283"/>
        <w:jc w:val="both"/>
        <w:rPr/>
      </w:pPr>
      <w:r>
        <w:rPr/>
        <w:t> </w:t>
      </w:r>
    </w:p>
    <w:p>
      <w:pPr>
        <w:pStyle w:val="TextBody"/>
        <w:bidi w:val="0"/>
        <w:spacing w:before="210" w:after="283"/>
        <w:jc w:val="left"/>
        <w:rPr/>
      </w:pPr>
      <w:r>
        <w:rPr/>
        <w:t> </w:t>
      </w:r>
    </w:p>
    <w:p>
      <w:pPr>
        <w:pStyle w:val="TextBody"/>
        <w:bidi w:val="0"/>
        <w:spacing w:before="138" w:after="283"/>
        <w:jc w:val="both"/>
        <w:rPr>
          <w:rFonts w:ascii="Times New Roman" w:hAnsi="Times New Roman"/>
          <w:color w:val="0C0C0C"/>
          <w:sz w:val="24"/>
        </w:rPr>
      </w:pPr>
      <w:r>
        <w:rPr>
          <w:rFonts w:ascii="Times New Roman" w:hAnsi="Times New Roman"/>
          <w:color w:val="0C0C0C"/>
          <w:sz w:val="24"/>
        </w:rPr>
        <w:t>IN WITNESS WHEREOF, the parties hereto have caused this Amendment to be executed on the date first set forth above by their respective officers thereto duly authorized, to be effective as hereinabove provided.</w:t>
      </w:r>
    </w:p>
    <w:p>
      <w:pPr>
        <w:pStyle w:val="TextBody"/>
        <w:bidi w:val="0"/>
        <w:spacing w:before="273" w:after="283"/>
        <w:jc w:val="left"/>
        <w:rPr/>
      </w:pPr>
      <w:r>
        <w:rPr/>
        <w:t> </w:t>
      </w:r>
    </w:p>
    <w:p>
      <w:pPr>
        <w:pStyle w:val="TextBody"/>
        <w:bidi w:val="0"/>
        <w:jc w:val="left"/>
        <w:rPr>
          <w:rFonts w:ascii="Times New Roman" w:hAnsi="Times New Roman"/>
          <w:sz w:val="20"/>
        </w:rPr>
      </w:pPr>
      <w:r>
        <w:rPr>
          <w:rFonts w:ascii="Times New Roman" w:hAnsi="Times New Roman"/>
          <w:b/>
          <w:color w:val="0C0C0C"/>
          <w:sz w:val="23"/>
        </w:rPr>
        <w:t xml:space="preserve">UACC AUTO FINANCING TRUST V, </w:t>
      </w:r>
      <w:r>
        <w:rPr>
          <w:rFonts w:ascii="Times New Roman" w:hAnsi="Times New Roman"/>
          <w:color w:val="0C0C0C"/>
          <w:sz w:val="24"/>
        </w:rPr>
        <w:t>as</w:t>
      </w:r>
    </w:p>
    <w:p>
      <w:pPr>
        <w:pStyle w:val="TextBody"/>
        <w:bidi w:val="0"/>
        <w:jc w:val="left"/>
        <w:rPr>
          <w:rFonts w:ascii="Times New Roman" w:hAnsi="Times New Roman"/>
          <w:color w:val="0C0C0C"/>
          <w:sz w:val="24"/>
        </w:rPr>
      </w:pPr>
      <w:r>
        <w:rPr>
          <w:rFonts w:ascii="Times New Roman" w:hAnsi="Times New Roman"/>
          <w:color w:val="0C0C0C"/>
          <w:sz w:val="24"/>
        </w:rPr>
        <w:t>Borrower</w:t>
      </w:r>
    </w:p>
    <w:p>
      <w:pPr>
        <w:pStyle w:val="TextBody"/>
        <w:bidi w:val="0"/>
        <w:spacing w:before="267" w:after="283"/>
        <w:jc w:val="left"/>
        <w:rPr>
          <w:rFonts w:ascii="Times New Roman" w:hAnsi="Times New Roman"/>
          <w:sz w:val="20"/>
        </w:rPr>
      </w:pPr>
      <w:r>
        <w:rPr>
          <w:rFonts w:ascii="Times New Roman" w:hAnsi="Times New Roman"/>
          <w:color w:val="0C0C0C"/>
          <w:sz w:val="24"/>
        </w:rPr>
        <w:t xml:space="preserve">By: </w:t>
      </w:r>
      <w:r>
        <w:rPr>
          <w:rFonts w:ascii="Times New Roman" w:hAnsi="Times New Roman"/>
          <w:color w:val="000000"/>
          <w:sz w:val="24"/>
        </w:rPr>
        <w:t>[***]</w:t>
      </w:r>
      <w:r>
        <w:rPr>
          <w:rFonts w:ascii="Times New Roman" w:hAnsi="Times New Roman"/>
          <w:color w:val="0C0C0C"/>
          <w:sz w:val="24"/>
        </w:rPr>
        <w:t>, not in its</w:t>
      </w:r>
    </w:p>
    <w:p>
      <w:pPr>
        <w:pStyle w:val="TextBody"/>
        <w:bidi w:val="0"/>
        <w:jc w:val="left"/>
        <w:rPr>
          <w:rFonts w:ascii="Times New Roman" w:hAnsi="Times New Roman"/>
          <w:color w:val="0C0C0C"/>
          <w:sz w:val="24"/>
        </w:rPr>
      </w:pPr>
      <w:r>
        <w:rPr>
          <w:rFonts w:ascii="Times New Roman" w:hAnsi="Times New Roman"/>
          <w:color w:val="0C0C0C"/>
          <w:sz w:val="24"/>
        </w:rPr>
        <w:t>individual capacity but solely as Owner Trustee</w:t>
      </w:r>
    </w:p>
    <w:p>
      <w:pPr>
        <w:pStyle w:val="TextBody"/>
        <w:bidi w:val="0"/>
        <w:spacing w:before="267" w:after="283"/>
        <w:jc w:val="left"/>
        <w:rPr>
          <w:rFonts w:ascii="Times New Roman" w:hAnsi="Times New Roman"/>
          <w:color w:val="0C0C0C"/>
          <w:sz w:val="24"/>
        </w:rPr>
      </w:pPr>
      <w:r>
        <w:rPr>
          <w:rFonts w:ascii="Times New Roman" w:hAnsi="Times New Roman"/>
          <w:color w:val="0C0C0C"/>
          <w:sz w:val="24"/>
        </w:rPr>
        <w:t>By: [***], as its attorney-in-fact</w:t>
      </w:r>
    </w:p>
    <w:p>
      <w:pPr>
        <w:pStyle w:val="TextBody"/>
        <w:bidi w:val="0"/>
        <w:spacing w:before="255" w:after="283"/>
        <w:jc w:val="left"/>
        <w:rPr/>
      </w:pPr>
      <w:r>
        <w:rPr/>
        <w:t> </w:t>
      </w:r>
    </w:p>
    <w:p>
      <w:pPr>
        <w:pStyle w:val="TextBody"/>
        <w:bidi w:val="0"/>
        <w:jc w:val="left"/>
        <w:rPr>
          <w:rFonts w:ascii="Times New Roman" w:hAnsi="Times New Roman"/>
          <w:color w:val="0C0C0C"/>
          <w:sz w:val="24"/>
        </w:rPr>
      </w:pPr>
      <w:r>
        <w:rPr>
          <w:rFonts w:ascii="Times New Roman" w:hAnsi="Times New Roman"/>
          <w:color w:val="0C0C0C"/>
          <w:sz w:val="24"/>
        </w:rPr>
        <w:t>By: Name:</w:t>
      </w:r>
    </w:p>
    <w:p>
      <w:pPr>
        <w:pStyle w:val="TextBody"/>
        <w:bidi w:val="0"/>
        <w:jc w:val="left"/>
        <w:rPr>
          <w:rFonts w:ascii="Times New Roman" w:hAnsi="Times New Roman"/>
          <w:color w:val="0C0C0C"/>
          <w:sz w:val="24"/>
        </w:rPr>
      </w:pPr>
      <w:r>
        <w:rPr>
          <w:rFonts w:ascii="Times New Roman" w:hAnsi="Times New Roman"/>
          <w:color w:val="0C0C0C"/>
          <w:sz w:val="24"/>
        </w:rPr>
        <w:t>Title:</w:t>
      </w:r>
    </w:p>
    <w:p>
      <w:pPr>
        <w:pStyle w:val="TextBody"/>
        <w:bidi w:val="0"/>
        <w:jc w:val="left"/>
        <w:rPr/>
      </w:pPr>
      <w:r>
        <w:rPr/>
        <w:t> </w:t>
      </w:r>
    </w:p>
    <w:p>
      <w:pPr>
        <w:pStyle w:val="TextBody"/>
        <w:bidi w:val="0"/>
        <w:spacing w:before="196" w:after="283"/>
        <w:jc w:val="left"/>
        <w:rPr/>
      </w:pPr>
      <w:r>
        <w:rPr/>
        <w:t> </w:t>
      </w:r>
    </w:p>
    <w:p>
      <w:pPr>
        <w:pStyle w:val="TextBody"/>
        <w:bidi w:val="0"/>
        <w:jc w:val="left"/>
        <w:rPr>
          <w:rFonts w:ascii="Times New Roman" w:hAnsi="Times New Roman"/>
          <w:sz w:val="20"/>
        </w:rPr>
      </w:pPr>
      <w:r>
        <w:rPr>
          <w:rFonts w:ascii="Times New Roman" w:hAnsi="Times New Roman"/>
          <w:b/>
          <w:color w:val="0C0C0C"/>
          <w:sz w:val="23"/>
        </w:rPr>
        <w:t xml:space="preserve">UNITED AUTO CREDIT CORPORATION, </w:t>
      </w:r>
      <w:r>
        <w:rPr>
          <w:rFonts w:ascii="Times New Roman" w:hAnsi="Times New Roman"/>
          <w:color w:val="0C0C0C"/>
          <w:sz w:val="24"/>
        </w:rPr>
        <w:t>as</w:t>
      </w:r>
    </w:p>
    <w:p>
      <w:pPr>
        <w:pStyle w:val="TextBody"/>
        <w:bidi w:val="0"/>
        <w:spacing w:before="12" w:after="283"/>
        <w:jc w:val="left"/>
        <w:rPr>
          <w:rFonts w:ascii="Times New Roman" w:hAnsi="Times New Roman"/>
          <w:color w:val="0C0C0C"/>
          <w:sz w:val="24"/>
        </w:rPr>
      </w:pPr>
      <w:r>
        <w:rPr>
          <w:rFonts w:ascii="Times New Roman" w:hAnsi="Times New Roman"/>
          <w:color w:val="0C0C0C"/>
          <w:sz w:val="24"/>
        </w:rPr>
        <w:t>Servicer, Custodian and Certificateholder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Jon Sandison </w:t>
      </w:r>
    </w:p>
    <w:p>
      <w:pPr>
        <w:pStyle w:val="TextBody"/>
        <w:bidi w:val="0"/>
        <w:spacing w:before="12" w:after="283"/>
        <w:jc w:val="left"/>
        <w:rPr>
          <w:rFonts w:ascii="Times New Roman" w:hAnsi="Times New Roman"/>
          <w:color w:val="000000"/>
          <w:sz w:val="24"/>
        </w:rPr>
      </w:pPr>
      <w:r>
        <w:rPr>
          <w:rFonts w:ascii="Times New Roman" w:hAnsi="Times New Roman"/>
          <w:color w:val="000000"/>
          <w:sz w:val="24"/>
        </w:rPr>
        <w:t>Name: Jon Sandison</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jc w:val="left"/>
        <w:rPr/>
      </w:pPr>
      <w:r>
        <w:rPr/>
        <w:t> </w:t>
      </w:r>
    </w:p>
    <w:p>
      <w:pPr>
        <w:pStyle w:val="TextBody"/>
        <w:bidi w:val="0"/>
        <w:spacing w:before="18" w:after="283"/>
        <w:jc w:val="left"/>
        <w:rPr/>
      </w:pPr>
      <w:r>
        <w:rPr/>
        <w:t> </w:t>
      </w:r>
    </w:p>
    <w:p>
      <w:pPr>
        <w:pStyle w:val="TextBody"/>
        <w:bidi w:val="0"/>
        <w:spacing w:before="3" w:after="283"/>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4" w:after="283"/>
        <w:jc w:val="left"/>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 as Lender</w:t>
      </w:r>
    </w:p>
    <w:p>
      <w:pPr>
        <w:pStyle w:val="TextBody"/>
        <w:bidi w:val="0"/>
        <w:spacing w:before="204" w:after="283"/>
        <w:jc w:val="left"/>
        <w:rPr/>
      </w:pPr>
      <w:r>
        <w:rPr/>
        <w:t> </w:t>
      </w:r>
    </w:p>
    <w:p>
      <w:pPr>
        <w:pStyle w:val="TextBody"/>
        <w:bidi w:val="0"/>
        <w:spacing w:before="92" w:after="283"/>
        <w:jc w:val="left"/>
        <w:rPr>
          <w:rFonts w:ascii="Times New Roman" w:hAnsi="Times New Roman"/>
          <w:color w:val="000000"/>
          <w:sz w:val="24"/>
        </w:rPr>
      </w:pPr>
      <w:r>
        <w:rPr>
          <w:rFonts w:ascii="Times New Roman" w:hAnsi="Times New Roman"/>
          <w:color w:val="000000"/>
          <w:sz w:val="24"/>
        </w:rPr>
        <w:t>By: [***]</w:t>
      </w:r>
    </w:p>
    <w:p>
      <w:pPr>
        <w:pStyle w:val="TextBody"/>
        <w:bidi w:val="0"/>
        <w:spacing w:before="92" w:after="283"/>
        <w:jc w:val="left"/>
        <w:rPr>
          <w:rFonts w:ascii="Times New Roman" w:hAnsi="Times New Roman"/>
          <w:color w:val="000000"/>
          <w:sz w:val="24"/>
        </w:rPr>
      </w:pPr>
      <w:r>
        <w:rPr>
          <w:rFonts w:ascii="Times New Roman" w:hAnsi="Times New Roman"/>
          <w:color w:val="000000"/>
          <w:sz w:val="24"/>
        </w:rPr>
        <w:t>Name: [***]</w:t>
      </w:r>
    </w:p>
    <w:p>
      <w:pPr>
        <w:pStyle w:val="TextBody"/>
        <w:bidi w:val="0"/>
        <w:spacing w:before="92" w:after="283"/>
        <w:jc w:val="left"/>
        <w:rPr>
          <w:rFonts w:ascii="Times New Roman" w:hAnsi="Times New Roman"/>
          <w:color w:val="000000"/>
          <w:sz w:val="24"/>
        </w:rPr>
      </w:pPr>
      <w:r>
        <w:rPr>
          <w:rFonts w:ascii="Times New Roman" w:hAnsi="Times New Roman"/>
          <w:color w:val="000000"/>
          <w:sz w:val="24"/>
        </w:rPr>
        <w:t>Title: [***]</w:t>
      </w:r>
    </w:p>
    <w:p>
      <w:pPr>
        <w:pStyle w:val="TextBody"/>
        <w:bidi w:val="0"/>
        <w:spacing w:before="207"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 as Administrative Agent</w:t>
      </w:r>
    </w:p>
    <w:p>
      <w:pPr>
        <w:pStyle w:val="TextBody"/>
        <w:bidi w:val="0"/>
        <w:jc w:val="left"/>
        <w:rPr/>
      </w:pPr>
      <w:r>
        <w:rPr/>
        <w:t> </w:t>
      </w:r>
    </w:p>
    <w:p>
      <w:pPr>
        <w:pStyle w:val="TextBody"/>
        <w:bidi w:val="0"/>
        <w:spacing w:before="166" w:after="283"/>
        <w:jc w:val="left"/>
        <w:rPr/>
      </w:pPr>
      <w:r>
        <w:rPr/>
        <w:t> </w:t>
      </w:r>
    </w:p>
    <w:p>
      <w:pPr>
        <w:pStyle w:val="TextBody"/>
        <w:bidi w:val="0"/>
        <w:spacing w:before="93" w:after="283"/>
        <w:jc w:val="left"/>
        <w:rPr>
          <w:rFonts w:ascii="Times New Roman" w:hAnsi="Times New Roman"/>
          <w:color w:val="000000"/>
          <w:sz w:val="24"/>
        </w:rPr>
      </w:pPr>
      <w:r>
        <w:rPr>
          <w:rFonts w:ascii="Times New Roman" w:hAnsi="Times New Roman"/>
          <w:color w:val="000000"/>
          <w:sz w:val="24"/>
        </w:rPr>
        <w:t>By: [***]</w:t>
      </w:r>
    </w:p>
    <w:p>
      <w:pPr>
        <w:pStyle w:val="TextBody"/>
        <w:bidi w:val="0"/>
        <w:spacing w:before="93" w:after="283"/>
        <w:jc w:val="left"/>
        <w:rPr>
          <w:rFonts w:ascii="Times New Roman" w:hAnsi="Times New Roman"/>
          <w:color w:val="000000"/>
          <w:sz w:val="24"/>
        </w:rPr>
      </w:pPr>
      <w:r>
        <w:rPr>
          <w:rFonts w:ascii="Times New Roman" w:hAnsi="Times New Roman"/>
          <w:color w:val="000000"/>
          <w:sz w:val="24"/>
        </w:rPr>
        <w:t>Name: [***]</w:t>
      </w:r>
    </w:p>
    <w:p>
      <w:pPr>
        <w:pStyle w:val="TextBody"/>
        <w:bidi w:val="0"/>
        <w:spacing w:before="93" w:after="283"/>
        <w:jc w:val="left"/>
        <w:rPr>
          <w:rFonts w:ascii="Times New Roman" w:hAnsi="Times New Roman"/>
          <w:color w:val="000000"/>
          <w:sz w:val="24"/>
        </w:rPr>
      </w:pPr>
      <w:r>
        <w:rPr>
          <w:rFonts w:ascii="Times New Roman" w:hAnsi="Times New Roman"/>
          <w:color w:val="000000"/>
          <w:sz w:val="24"/>
        </w:rPr>
        <w:t>Title: [***]</w:t>
      </w:r>
    </w:p>
    <w:p>
      <w:pPr>
        <w:pStyle w:val="TextBody"/>
        <w:bidi w:val="0"/>
        <w:jc w:val="left"/>
        <w:rPr/>
      </w:pPr>
      <w:r>
        <w:rPr/>
        <w:t> </w:t>
      </w:r>
    </w:p>
    <w:p>
      <w:pPr>
        <w:pStyle w:val="TextBody"/>
        <w:bidi w:val="0"/>
        <w:jc w:val="left"/>
        <w:rPr/>
      </w:pPr>
      <w:r>
        <w:rPr/>
        <w:t> </w:t>
      </w:r>
    </w:p>
    <w:p>
      <w:pPr>
        <w:pStyle w:val="TextBody"/>
        <w:bidi w:val="0"/>
        <w:spacing w:before="18" w:after="283"/>
        <w:jc w:val="left"/>
        <w:rPr/>
      </w:pPr>
      <w:r>
        <w:rPr/>
        <w:t> </w:t>
      </w:r>
    </w:p>
    <w:p>
      <w:pPr>
        <w:pStyle w:val="TextBody"/>
        <w:bidi w:val="0"/>
        <w:spacing w:before="3" w:after="283"/>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jc w:val="left"/>
        <w:rPr>
          <w:rFonts w:ascii="Times New Roman" w:hAnsi="Times New Roman"/>
          <w:color w:val="000000"/>
          <w:sz w:val="24"/>
        </w:rPr>
      </w:pPr>
      <w:r>
        <w:rPr>
          <w:rFonts w:ascii="Times New Roman" w:hAnsi="Times New Roman"/>
          <w:color w:val="000000"/>
          <w:sz w:val="24"/>
        </w:rPr>
        <w:t>[***], as Backup Servicer and Account Bank</w:t>
      </w:r>
    </w:p>
    <w:p>
      <w:pPr>
        <w:pStyle w:val="TextBody"/>
        <w:bidi w:val="0"/>
        <w:spacing w:before="267" w:after="283"/>
        <w:jc w:val="left"/>
        <w:rPr>
          <w:rFonts w:ascii="Times New Roman" w:hAnsi="Times New Roman"/>
          <w:color w:val="000000"/>
          <w:sz w:val="24"/>
        </w:rPr>
      </w:pPr>
      <w:r>
        <w:rPr>
          <w:rFonts w:ascii="Times New Roman" w:hAnsi="Times New Roman"/>
          <w:color w:val="000000"/>
          <w:sz w:val="24"/>
        </w:rPr>
        <w:t>By: [***], as its attorney-in-fact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w:t>
      </w:r>
    </w:p>
    <w:p>
      <w:pPr>
        <w:pStyle w:val="TextBody"/>
        <w:bidi w:val="0"/>
        <w:jc w:val="left"/>
        <w:rPr>
          <w:rFonts w:ascii="Times New Roman" w:hAnsi="Times New Roman"/>
          <w:color w:val="000000"/>
          <w:sz w:val="24"/>
        </w:rPr>
      </w:pPr>
      <w:r>
        <w:rPr>
          <w:rFonts w:ascii="Times New Roman" w:hAnsi="Times New Roman"/>
          <w:color w:val="000000"/>
          <w:sz w:val="24"/>
        </w:rPr>
        <w:t>Name: [***]</w:t>
      </w:r>
    </w:p>
    <w:p>
      <w:pPr>
        <w:pStyle w:val="TextBody"/>
        <w:bidi w:val="0"/>
        <w:jc w:val="left"/>
        <w:rPr>
          <w:rFonts w:ascii="Times New Roman" w:hAnsi="Times New Roman"/>
          <w:color w:val="000000"/>
          <w:sz w:val="24"/>
        </w:rPr>
      </w:pPr>
      <w:r>
        <w:rPr>
          <w:rFonts w:ascii="Times New Roman" w:hAnsi="Times New Roman"/>
          <w:color w:val="000000"/>
          <w:sz w:val="24"/>
        </w:rPr>
        <w:t>Title: [***]</w:t>
      </w:r>
    </w:p>
    <w:p>
      <w:pPr>
        <w:pStyle w:val="TextBody"/>
        <w:bidi w:val="0"/>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spacing w:before="14" w:after="283"/>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4" w:after="283"/>
        <w:jc w:val="left"/>
        <w:rPr/>
      </w:pPr>
      <w:r>
        <w:rPr/>
        <w:t> </w:t>
      </w:r>
    </w:p>
    <w:p>
      <w:pPr>
        <w:pStyle w:val="TextBody"/>
        <w:bidi w:val="0"/>
        <w:jc w:val="left"/>
        <w:rPr/>
      </w:pPr>
      <w:r>
        <w:rPr/>
        <w:t> </w:t>
      </w:r>
    </w:p>
    <w:p>
      <w:pPr>
        <w:pStyle w:val="TextBody"/>
        <w:bidi w:val="0"/>
        <w:spacing w:before="18"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vrm-ex31_1.htm"/>
      <w:bookmarkStart w:id="30" w:name="ksvrmex31_1"/>
      <w:bookmarkEnd w:id="29"/>
      <w:bookmarkEnd w:id="30"/>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80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5152" w:type="dxa"/>
        <w:jc w:val="left"/>
        <w:tblInd w:w="0" w:type="dxa"/>
        <w:tblLayout w:type="fixed"/>
        <w:tblCellMar>
          <w:top w:w="28" w:type="dxa"/>
          <w:left w:w="28" w:type="dxa"/>
          <w:bottom w:w="28" w:type="dxa"/>
          <w:right w:w="28" w:type="dxa"/>
        </w:tblCellMar>
      </w:tblPr>
      <w:tblGrid>
        <w:gridCol w:w="2206"/>
        <w:gridCol w:w="109"/>
        <w:gridCol w:w="406"/>
        <w:gridCol w:w="24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vrm-ex31_2.htm"/>
      <w:bookmarkStart w:id="32" w:name="ksvrmex31_2"/>
      <w:bookmarkEnd w:id="31"/>
      <w:bookmarkEnd w:id="32"/>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Jonathan Sandison,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5137" w:type="dxa"/>
        <w:jc w:val="left"/>
        <w:tblInd w:w="0" w:type="dxa"/>
        <w:tblLayout w:type="fixed"/>
        <w:tblCellMar>
          <w:top w:w="28" w:type="dxa"/>
          <w:left w:w="28" w:type="dxa"/>
          <w:bottom w:w="28" w:type="dxa"/>
          <w:right w:w="28" w:type="dxa"/>
        </w:tblCellMar>
      </w:tblPr>
      <w:tblGrid>
        <w:gridCol w:w="2206"/>
        <w:gridCol w:w="109"/>
        <w:gridCol w:w="406"/>
        <w:gridCol w:w="241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33" w:name="vrm-ex32_1.htm"/>
      <w:bookmarkStart w:id="34" w:name="ksvrmex32_1"/>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September 30,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5152" w:type="dxa"/>
        <w:jc w:val="left"/>
        <w:tblInd w:w="0" w:type="dxa"/>
        <w:tblLayout w:type="fixed"/>
        <w:tblCellMar>
          <w:top w:w="28" w:type="dxa"/>
          <w:left w:w="28" w:type="dxa"/>
          <w:bottom w:w="28" w:type="dxa"/>
          <w:right w:w="28" w:type="dxa"/>
        </w:tblCellMar>
      </w:tblPr>
      <w:tblGrid>
        <w:gridCol w:w="2206"/>
        <w:gridCol w:w="109"/>
        <w:gridCol w:w="406"/>
        <w:gridCol w:w="24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vrm-ex32_2.htm"/>
      <w:bookmarkStart w:id="36" w:name="ksvrmex32_2"/>
      <w:bookmarkEnd w:id="35"/>
      <w:bookmarkEnd w:id="36"/>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September 30,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5137" w:type="dxa"/>
        <w:jc w:val="left"/>
        <w:tblInd w:w="0" w:type="dxa"/>
        <w:tblLayout w:type="fixed"/>
        <w:tblCellMar>
          <w:top w:w="28" w:type="dxa"/>
          <w:left w:w="28" w:type="dxa"/>
          <w:bottom w:w="28" w:type="dxa"/>
          <w:right w:w="28" w:type="dxa"/>
        </w:tblCellMar>
      </w:tblPr>
      <w:tblGrid>
        <w:gridCol w:w="2206"/>
        <w:gridCol w:w="109"/>
        <w:gridCol w:w="406"/>
        <w:gridCol w:w="241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Cambria">
    <w:altName w:val="serif"/>
    <w:charset w:val="01"/>
    <w:family w:val="auto"/>
    <w:pitch w:val="default"/>
  </w:font>
  <w:font w:name="Cambr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1002077/vrm-ex2_1.htm" TargetMode="External"/><Relationship Id="rId3" Type="http://schemas.openxmlformats.org/officeDocument/2006/relationships/hyperlink" Target="https://www.sec.gov/Archives/edgar/data/1580864/000095017025005647/vrm-ex2_1.htm" TargetMode="External"/><Relationship Id="rId4" Type="http://schemas.openxmlformats.org/officeDocument/2006/relationships/hyperlink" Target="https://www.sec.gov/Archives/edgar/data/1580864/000095017025037265/vrm-ex3_2.htm" TargetMode="External"/><Relationship Id="rId5" Type="http://schemas.openxmlformats.org/officeDocument/2006/relationships/hyperlink" Target="https://www.sec.gov/Archives/edgar/data/1580864/000095017025037265/vrm-ex3_1.htm" TargetMode="External"/><Relationship Id="rId6" Type="http://schemas.openxmlformats.org/officeDocument/2006/relationships/hyperlink" Target="https://www.sec.gov/Archives/edgar/data/1580864/000156459020039778/vrm-ex32_234.htm" TargetMode="External"/><Relationship Id="rId7" Type="http://schemas.openxmlformats.org/officeDocument/2006/relationships/hyperlink" Target="https://www.sec.gov/Archives/edgar/data/1580864/000119312520145219/d801274dex42.htm" TargetMode="External"/><Relationship Id="rId8" Type="http://schemas.openxmlformats.org/officeDocument/2006/relationships/hyperlink" Target="https://www.sec.gov/ix?doc=/Archives/edgar/data/0001580864/000095017025112245/vrm-20250829.htm" TargetMode="External"/><Relationship Id="rId9" Type="http://schemas.openxmlformats.org/officeDocument/2006/relationships/hyperlink" Target="https://www.sec.gov/ix?doc=/Archives/edgar/data/0001580864/000119312525237183/vrm-20251009.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125597</Words>
  <Characters>681896</Characters>
  <CharactersWithSpaces>811666</CharactersWithSpaces>
  <Paragraphs>20932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