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915035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8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March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103505</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8"/>
          <w:szCs w:val="38"/>
          <w:b w:val="1"/>
          <w:bCs w:val="1"/>
          <w:color w:val="auto"/>
        </w:rPr>
        <w:t>VROOM, INC.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44" w:lineRule="exact"/>
        <w:rPr>
          <w:sz w:val="24"/>
          <w:szCs w:val="24"/>
          <w:color w:val="auto"/>
        </w:rPr>
      </w:pPr>
    </w:p>
    <w:tbl>
      <w:tblPr>
        <w:tblLayout w:type="fixed"/>
        <w:tblInd w:w="920" w:type="dxa"/>
        <w:tblCellMar>
          <w:top w:w="0" w:type="dxa"/>
          <w:left w:w="0" w:type="dxa"/>
          <w:bottom w:w="0" w:type="dxa"/>
          <w:right w:w="0" w:type="dxa"/>
        </w:tblCellMar>
      </w:tblPr>
      <w:tr>
        <w:trPr>
          <w:trHeight w:val="186"/>
        </w:trPr>
        <w:tc>
          <w:tcPr>
            <w:tcW w:w="2340" w:type="dxa"/>
            <w:vAlign w:val="bottom"/>
          </w:tcPr>
          <w:p>
            <w:pPr>
              <w:jc w:val="center"/>
              <w:ind w:right="49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492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001-39315</w:t>
            </w:r>
          </w:p>
        </w:tc>
        <w:tc>
          <w:tcPr>
            <w:tcW w:w="1760" w:type="dxa"/>
            <w:vAlign w:val="bottom"/>
          </w:tcPr>
          <w:p>
            <w:pPr>
              <w:jc w:val="center"/>
              <w:ind w:left="692"/>
              <w:spacing w:after="0"/>
              <w:rPr>
                <w:sz w:val="20"/>
                <w:szCs w:val="20"/>
                <w:color w:val="auto"/>
              </w:rPr>
            </w:pPr>
            <w:r>
              <w:rPr>
                <w:rFonts w:ascii="Times New Roman" w:cs="Times New Roman" w:eastAsia="Times New Roman" w:hAnsi="Times New Roman"/>
                <w:sz w:val="16"/>
                <w:szCs w:val="16"/>
                <w:b w:val="1"/>
                <w:bCs w:val="1"/>
                <w:color w:val="auto"/>
                <w:w w:val="98"/>
              </w:rPr>
              <w:t>90-1112566</w:t>
            </w:r>
          </w:p>
        </w:tc>
      </w:tr>
      <w:tr>
        <w:trPr>
          <w:trHeight w:val="130"/>
        </w:trPr>
        <w:tc>
          <w:tcPr>
            <w:tcW w:w="2340" w:type="dxa"/>
            <w:vAlign w:val="bottom"/>
          </w:tcPr>
          <w:p>
            <w:pPr>
              <w:jc w:val="center"/>
              <w:ind w:right="492"/>
              <w:spacing w:after="0" w:line="130"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920" w:type="dxa"/>
            <w:vAlign w:val="bottom"/>
          </w:tcPr>
          <w:p>
            <w:pPr>
              <w:ind w:left="2020"/>
              <w:spacing w:after="0" w:line="130"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760" w:type="dxa"/>
            <w:vAlign w:val="bottom"/>
          </w:tcPr>
          <w:p>
            <w:pPr>
              <w:jc w:val="center"/>
              <w:ind w:left="692"/>
              <w:spacing w:after="0" w:line="130"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340" w:type="dxa"/>
            <w:vAlign w:val="bottom"/>
          </w:tcPr>
          <w:p>
            <w:pPr>
              <w:jc w:val="center"/>
              <w:ind w:right="492"/>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4920" w:type="dxa"/>
            <w:vAlign w:val="bottom"/>
          </w:tcPr>
          <w:p>
            <w:pPr>
              <w:ind w:left="20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760" w:type="dxa"/>
            <w:vAlign w:val="bottom"/>
          </w:tcPr>
          <w:p>
            <w:pPr>
              <w:jc w:val="center"/>
              <w:ind w:left="71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8"/>
        </w:trPr>
        <w:tc>
          <w:tcPr>
            <w:tcW w:w="2340" w:type="dxa"/>
            <w:vAlign w:val="bottom"/>
          </w:tcPr>
          <w:p>
            <w:pPr>
              <w:spacing w:after="0"/>
              <w:rPr>
                <w:sz w:val="22"/>
                <w:szCs w:val="22"/>
                <w:color w:val="auto"/>
              </w:rPr>
            </w:pPr>
          </w:p>
        </w:tc>
        <w:tc>
          <w:tcPr>
            <w:tcW w:w="4920" w:type="dxa"/>
            <w:vAlign w:val="bottom"/>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w w:val="99"/>
              </w:rPr>
              <w:t>4700 Mercantile Dr.</w:t>
            </w:r>
          </w:p>
        </w:tc>
        <w:tc>
          <w:tcPr>
            <w:tcW w:w="1760" w:type="dxa"/>
            <w:vAlign w:val="bottom"/>
          </w:tcPr>
          <w:p>
            <w:pPr>
              <w:spacing w:after="0"/>
              <w:rPr>
                <w:sz w:val="22"/>
                <w:szCs w:val="22"/>
                <w:color w:val="auto"/>
              </w:rPr>
            </w:pPr>
          </w:p>
        </w:tc>
      </w:tr>
      <w:tr>
        <w:trPr>
          <w:trHeight w:val="226"/>
        </w:trPr>
        <w:tc>
          <w:tcPr>
            <w:tcW w:w="2340" w:type="dxa"/>
            <w:vAlign w:val="bottom"/>
          </w:tcPr>
          <w:p>
            <w:pPr>
              <w:spacing w:after="0"/>
              <w:rPr>
                <w:sz w:val="19"/>
                <w:szCs w:val="19"/>
                <w:color w:val="auto"/>
              </w:rPr>
            </w:pPr>
          </w:p>
        </w:tc>
        <w:tc>
          <w:tcPr>
            <w:tcW w:w="4920" w:type="dxa"/>
            <w:vAlign w:val="bottom"/>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w w:val="98"/>
              </w:rPr>
              <w:t>Fort Worth, TX 76137</w:t>
            </w:r>
          </w:p>
        </w:tc>
        <w:tc>
          <w:tcPr>
            <w:tcW w:w="1760" w:type="dxa"/>
            <w:vAlign w:val="bottom"/>
          </w:tcPr>
          <w:p>
            <w:pPr>
              <w:spacing w:after="0"/>
              <w:rPr>
                <w:sz w:val="19"/>
                <w:szCs w:val="19"/>
                <w:color w:val="auto"/>
              </w:rPr>
            </w:pPr>
          </w:p>
        </w:tc>
      </w:tr>
      <w:tr>
        <w:trPr>
          <w:trHeight w:val="166"/>
        </w:trPr>
        <w:tc>
          <w:tcPr>
            <w:tcW w:w="2340" w:type="dxa"/>
            <w:vAlign w:val="bottom"/>
          </w:tcPr>
          <w:p>
            <w:pPr>
              <w:spacing w:after="0"/>
              <w:rPr>
                <w:sz w:val="14"/>
                <w:szCs w:val="14"/>
                <w:color w:val="auto"/>
              </w:rPr>
            </w:pPr>
          </w:p>
        </w:tc>
        <w:tc>
          <w:tcPr>
            <w:tcW w:w="492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1760" w:type="dxa"/>
            <w:vAlign w:val="bottom"/>
          </w:tcPr>
          <w:p>
            <w:pPr>
              <w:spacing w:after="0"/>
              <w:rPr>
                <w:sz w:val="14"/>
                <w:szCs w:val="14"/>
                <w:color w:val="auto"/>
              </w:rPr>
            </w:pPr>
          </w:p>
        </w:tc>
      </w:tr>
      <w:tr>
        <w:trPr>
          <w:trHeight w:val="224"/>
        </w:trPr>
        <w:tc>
          <w:tcPr>
            <w:tcW w:w="2340" w:type="dxa"/>
            <w:vAlign w:val="bottom"/>
          </w:tcPr>
          <w:p>
            <w:pPr>
              <w:spacing w:after="0"/>
              <w:rPr>
                <w:sz w:val="19"/>
                <w:szCs w:val="19"/>
                <w:color w:val="auto"/>
              </w:rPr>
            </w:pPr>
          </w:p>
        </w:tc>
        <w:tc>
          <w:tcPr>
            <w:tcW w:w="492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w w:val="97"/>
              </w:rPr>
              <w:t>(518) 535-9125</w:t>
            </w:r>
          </w:p>
        </w:tc>
        <w:tc>
          <w:tcPr>
            <w:tcW w:w="1760" w:type="dxa"/>
            <w:vAlign w:val="bottom"/>
          </w:tcPr>
          <w:p>
            <w:pPr>
              <w:spacing w:after="0"/>
              <w:rPr>
                <w:sz w:val="19"/>
                <w:szCs w:val="19"/>
                <w:color w:val="auto"/>
              </w:rPr>
            </w:pPr>
          </w:p>
        </w:tc>
      </w:tr>
      <w:tr>
        <w:trPr>
          <w:trHeight w:val="166"/>
        </w:trPr>
        <w:tc>
          <w:tcPr>
            <w:tcW w:w="2340" w:type="dxa"/>
            <w:vAlign w:val="bottom"/>
          </w:tcPr>
          <w:p>
            <w:pPr>
              <w:spacing w:after="0"/>
              <w:rPr>
                <w:sz w:val="14"/>
                <w:szCs w:val="14"/>
                <w:color w:val="auto"/>
              </w:rPr>
            </w:pPr>
          </w:p>
        </w:tc>
        <w:tc>
          <w:tcPr>
            <w:tcW w:w="492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include area code)</w:t>
            </w:r>
          </w:p>
        </w:tc>
        <w:tc>
          <w:tcPr>
            <w:tcW w:w="1760" w:type="dxa"/>
            <w:vAlign w:val="bottom"/>
          </w:tcPr>
          <w:p>
            <w:pPr>
              <w:spacing w:after="0"/>
              <w:rPr>
                <w:sz w:val="14"/>
                <w:szCs w:val="14"/>
                <w:color w:val="auto"/>
              </w:rPr>
            </w:pPr>
          </w:p>
        </w:tc>
      </w:tr>
      <w:tr>
        <w:trPr>
          <w:trHeight w:val="212"/>
        </w:trPr>
        <w:tc>
          <w:tcPr>
            <w:tcW w:w="2340" w:type="dxa"/>
            <w:vAlign w:val="bottom"/>
          </w:tcPr>
          <w:p>
            <w:pPr>
              <w:spacing w:after="0"/>
              <w:rPr>
                <w:sz w:val="18"/>
                <w:szCs w:val="18"/>
                <w:color w:val="auto"/>
              </w:rPr>
            </w:pPr>
          </w:p>
        </w:tc>
        <w:tc>
          <w:tcPr>
            <w:tcW w:w="4920" w:type="dxa"/>
            <w:vAlign w:val="bottom"/>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rPr>
              <w:t>N/A</w:t>
            </w:r>
          </w:p>
        </w:tc>
        <w:tc>
          <w:tcPr>
            <w:tcW w:w="1760" w:type="dxa"/>
            <w:vAlign w:val="bottom"/>
          </w:tcPr>
          <w:p>
            <w:pPr>
              <w:spacing w:after="0"/>
              <w:rPr>
                <w:sz w:val="18"/>
                <w:szCs w:val="18"/>
                <w:color w:val="auto"/>
              </w:rPr>
            </w:pPr>
          </w:p>
        </w:tc>
      </w:tr>
      <w:tr>
        <w:trPr>
          <w:trHeight w:val="166"/>
        </w:trPr>
        <w:tc>
          <w:tcPr>
            <w:tcW w:w="2340" w:type="dxa"/>
            <w:vAlign w:val="bottom"/>
          </w:tcPr>
          <w:p>
            <w:pPr>
              <w:spacing w:after="0"/>
              <w:rPr>
                <w:sz w:val="14"/>
                <w:szCs w:val="14"/>
                <w:color w:val="auto"/>
              </w:rPr>
            </w:pPr>
          </w:p>
        </w:tc>
        <w:tc>
          <w:tcPr>
            <w:tcW w:w="492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640" w:hanging="34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6" w:lineRule="exact"/>
        <w:rPr>
          <w:rFonts w:ascii="MS PGothic" w:cs="MS PGothic" w:eastAsia="MS PGothic" w:hAnsi="MS PGothic"/>
          <w:sz w:val="16"/>
          <w:szCs w:val="16"/>
          <w:color w:val="auto"/>
        </w:rPr>
      </w:pPr>
    </w:p>
    <w:p>
      <w:pPr>
        <w:ind w:left="660" w:hanging="36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6" w:lineRule="exact"/>
        <w:rPr>
          <w:rFonts w:ascii="MS PGothic" w:cs="MS PGothic" w:eastAsia="MS PGothic" w:hAnsi="MS PGothic"/>
          <w:sz w:val="16"/>
          <w:szCs w:val="16"/>
          <w:color w:val="auto"/>
        </w:rPr>
      </w:pPr>
    </w:p>
    <w:p>
      <w:pPr>
        <w:ind w:left="640" w:hanging="34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6" w:lineRule="exact"/>
        <w:rPr>
          <w:rFonts w:ascii="MS PGothic" w:cs="MS PGothic" w:eastAsia="MS PGothic" w:hAnsi="MS PGothic"/>
          <w:sz w:val="16"/>
          <w:szCs w:val="16"/>
          <w:color w:val="auto"/>
        </w:rPr>
      </w:pPr>
    </w:p>
    <w:p>
      <w:pPr>
        <w:ind w:left="640" w:hanging="34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62" w:lineRule="exact"/>
        <w:rPr>
          <w:rFonts w:ascii="MS PGothic" w:cs="MS PGothic" w:eastAsia="MS PGothic" w:hAnsi="MS PGothic"/>
          <w:sz w:val="16"/>
          <w:szCs w:val="16"/>
          <w:color w:val="auto"/>
        </w:rPr>
      </w:pPr>
    </w:p>
    <w:p>
      <w:pPr>
        <w:ind w:left="37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96"/>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80"/>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VRM</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r>
    </w:tbl>
    <w:p>
      <w:pPr>
        <w:spacing w:after="0" w:line="54"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4"/>
          <w:szCs w:val="14"/>
          <w:color w:val="auto"/>
        </w:rPr>
        <w:t>☐</w:t>
      </w:r>
    </w:p>
    <w:p>
      <w:pPr>
        <w:spacing w:after="0" w:line="80" w:lineRule="exact"/>
        <w:rPr>
          <w:sz w:val="24"/>
          <w:szCs w:val="24"/>
          <w:color w:val="auto"/>
        </w:rPr>
      </w:pPr>
    </w:p>
    <w:p>
      <w:pPr>
        <w:ind w:right="30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930910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34925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200" w:firstLine="542"/>
        <w:spacing w:after="0" w:line="276" w:lineRule="auto"/>
        <w:rPr>
          <w:sz w:val="20"/>
          <w:szCs w:val="20"/>
          <w:color w:val="auto"/>
        </w:rPr>
      </w:pPr>
      <w:r>
        <w:rPr>
          <w:rFonts w:ascii="Times New Roman" w:cs="Times New Roman" w:eastAsia="Times New Roman" w:hAnsi="Times New Roman"/>
          <w:sz w:val="16"/>
          <w:szCs w:val="16"/>
          <w:color w:val="auto"/>
        </w:rPr>
        <w:t>On March 26, 2026, Vroom, Inc. (the “Company”) issued a press release announcing its financial results for the quarter and year ended December 31, 2025. A copy of the press release is furnished as Exhibit 99.1 to this Current Report on Form 8-K.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140" w:firstLine="542"/>
        <w:spacing w:after="0" w:line="261" w:lineRule="auto"/>
        <w:rPr>
          <w:sz w:val="20"/>
          <w:szCs w:val="20"/>
          <w:color w:val="auto"/>
        </w:rPr>
      </w:pPr>
      <w:r>
        <w:rPr>
          <w:rFonts w:ascii="Times New Roman" w:cs="Times New Roman" w:eastAsia="Times New Roman" w:hAnsi="Times New Roman"/>
          <w:sz w:val="16"/>
          <w:szCs w:val="16"/>
          <w:color w:val="auto"/>
        </w:rPr>
        <w:t>On March 26, 2026, the Company posted a corporate slide presentation with financial results for the quarter and year ended December 31, 2025 on its investor relations website, https://ir.vroom.com/news-events/events-and-presentations. The presentation is furnished as Exhibit 99.2 to this Current Report on Form 8-K and will accompany management’s comments.</w:t>
      </w:r>
    </w:p>
    <w:p>
      <w:pPr>
        <w:spacing w:after="0" w:line="192"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6"/>
          <w:szCs w:val="16"/>
          <w:color w:val="auto"/>
        </w:rPr>
        <w:t>The information contained in Item 2.02, including Exhibit 99.1 hereto, and in Item 7.01, including Exhibit 99.2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relating to Item 2.02 and Item 7.01 shall be deemed to be furnished, and not filed: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
        </w:trPr>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2380" w:type="dxa"/>
            <w:vAlign w:val="bottom"/>
            <w:tcBorders>
              <w:right w:val="single" w:sz="8" w:color="auto"/>
            </w:tcBorders>
            <w:shd w:val="clear" w:color="auto" w:fill="000000"/>
          </w:tcPr>
          <w:p>
            <w:pPr>
              <w:spacing w:after="0"/>
              <w:rPr>
                <w:sz w:val="2"/>
                <w:szCs w:val="2"/>
                <w:color w:val="auto"/>
              </w:rPr>
            </w:pPr>
          </w:p>
        </w:tc>
        <w:tc>
          <w:tcPr>
            <w:tcW w:w="5140" w:type="dxa"/>
            <w:vAlign w:val="bottom"/>
            <w:shd w:val="clear" w:color="auto" w:fill="000000"/>
          </w:tcPr>
          <w:p>
            <w:pPr>
              <w:spacing w:after="0"/>
              <w:rPr>
                <w:sz w:val="2"/>
                <w:szCs w:val="2"/>
                <w:color w:val="auto"/>
              </w:rPr>
            </w:pPr>
          </w:p>
        </w:tc>
      </w:tr>
      <w:tr>
        <w:trPr>
          <w:trHeight w:val="260"/>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140" w:type="dxa"/>
            <w:vAlign w:val="bottom"/>
          </w:tcPr>
          <w:p>
            <w:pPr>
              <w:spacing w:after="0"/>
              <w:rPr>
                <w:sz w:val="22"/>
                <w:szCs w:val="22"/>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dated March 26, 2026.</w:t>
            </w: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69"/>
        </w:trPr>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99.2</w:t>
            </w:r>
          </w:p>
        </w:tc>
        <w:tc>
          <w:tcPr>
            <w:tcW w:w="140" w:type="dxa"/>
            <w:vAlign w:val="bottom"/>
          </w:tcPr>
          <w:p>
            <w:pPr>
              <w:spacing w:after="0"/>
              <w:rPr>
                <w:sz w:val="14"/>
                <w:szCs w:val="14"/>
                <w:color w:val="auto"/>
              </w:rPr>
            </w:pPr>
          </w:p>
        </w:tc>
        <w:tc>
          <w:tcPr>
            <w:tcW w:w="98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Earnings Presentation for the Quarter and Year Ended December 31, 2025.</w:t>
            </w: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740" w:type="dxa"/>
            <w:vAlign w:val="bottom"/>
            <w:tcBorders>
              <w:right w:val="single" w:sz="8" w:color="0000EE"/>
            </w:tcBorders>
            <w:gridSpan w:val="2"/>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05"/>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422"/>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6"/>
          <w:szCs w:val="16"/>
          <w:color w:val="auto"/>
        </w:rPr>
        <w:t>SIGNATURES</w:t>
      </w:r>
    </w:p>
    <w:p>
      <w:pPr>
        <w:spacing w:after="0" w:line="19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VROOM, INC.</w:t>
      </w:r>
    </w:p>
    <w:p>
      <w:pPr>
        <w:spacing w:after="0" w:line="112" w:lineRule="exact"/>
        <w:rPr>
          <w:sz w:val="20"/>
          <w:szCs w:val="20"/>
          <w:color w:val="auto"/>
        </w:rPr>
      </w:pPr>
    </w:p>
    <w:p>
      <w:pPr>
        <w:spacing w:after="0"/>
        <w:tabs>
          <w:tab w:leader="none" w:pos="6860" w:val="left"/>
          <w:tab w:leader="none" w:pos="7300" w:val="left"/>
        </w:tabs>
        <w:rPr>
          <w:sz w:val="20"/>
          <w:szCs w:val="20"/>
          <w:color w:val="auto"/>
        </w:rPr>
      </w:pPr>
      <w:r>
        <w:rPr>
          <w:rFonts w:ascii="Times New Roman" w:cs="Times New Roman" w:eastAsia="Times New Roman" w:hAnsi="Times New Roman"/>
          <w:sz w:val="16"/>
          <w:szCs w:val="16"/>
          <w:color w:val="auto"/>
        </w:rPr>
        <w:t>Date: March 26,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Tom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13970</wp:posOffset>
            </wp:positionV>
            <wp:extent cx="25006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0630" cy="7620"/>
                    </a:xfrm>
                    <a:prstGeom prst="rect">
                      <a:avLst/>
                    </a:prstGeom>
                    <a:noFill/>
                  </pic:spPr>
                </pic:pic>
              </a:graphicData>
            </a:graphic>
          </wp:anchor>
        </w:drawing>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Tom Shortt</w:t>
      </w:r>
    </w:p>
    <w:p>
      <w:pPr>
        <w:spacing w:after="0" w:line="2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891540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258"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37414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74140" cy="300355"/>
                    </a:xfrm>
                    <a:prstGeom prst="rect">
                      <a:avLst/>
                    </a:prstGeom>
                    <a:noFill/>
                  </pic:spPr>
                </pic:pic>
              </a:graphicData>
            </a:graphic>
          </wp:anchor>
        </w:drawing>
        <w:t>Exhibit 99.1</w:t>
      </w:r>
    </w:p>
    <w:p>
      <w:pPr>
        <w:spacing w:after="0" w:line="200" w:lineRule="exact"/>
        <w:rPr>
          <w:sz w:val="20"/>
          <w:szCs w:val="20"/>
          <w:color w:val="auto"/>
        </w:rPr>
      </w:pP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i w:val="1"/>
          <w:iCs w:val="1"/>
          <w:color w:val="auto"/>
        </w:rPr>
        <w:t>Vroom Announces Fourth Quarter and Full Year 2025 Results</w:t>
      </w:r>
    </w:p>
    <w:p>
      <w:pPr>
        <w:spacing w:after="0" w:line="8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i w:val="1"/>
          <w:iCs w:val="1"/>
          <w:color w:val="auto"/>
        </w:rPr>
        <w:t>$116.6 million stockholders' equity as of December 31, 2025</w:t>
      </w:r>
    </w:p>
    <w:p>
      <w:pPr>
        <w:spacing w:after="0" w:line="88" w:lineRule="exact"/>
        <w:rPr>
          <w:sz w:val="20"/>
          <w:szCs w:val="20"/>
          <w:color w:val="auto"/>
        </w:rPr>
      </w:pPr>
    </w:p>
    <w:p>
      <w:pPr>
        <w:ind w:left="5" w:right="200"/>
        <w:spacing w:after="0" w:line="502" w:lineRule="auto"/>
        <w:rPr>
          <w:sz w:val="20"/>
          <w:szCs w:val="20"/>
          <w:color w:val="auto"/>
        </w:rPr>
      </w:pPr>
      <w:r>
        <w:rPr>
          <w:rFonts w:ascii="Arial" w:cs="Arial" w:eastAsia="Arial" w:hAnsi="Arial"/>
          <w:sz w:val="16"/>
          <w:szCs w:val="16"/>
          <w:color w:val="auto"/>
        </w:rPr>
        <w:t xml:space="preserve">NEW YORK – March 26, 2026 – Vroom, Inc. (Nasdaq:VRM) today announced financial results for the fourth quarter and fiscal year ended December 31, 2025. </w:t>
      </w:r>
      <w:r>
        <w:rPr>
          <w:rFonts w:ascii="Arial" w:cs="Arial" w:eastAsia="Arial" w:hAnsi="Arial"/>
          <w:sz w:val="16"/>
          <w:szCs w:val="16"/>
          <w:b w:val="1"/>
          <w:bCs w:val="1"/>
          <w:color w:val="auto"/>
        </w:rPr>
        <w:t>HIGHLIGHTS OF FOURTH QUARTER AND FULL YEAR 2025</w:t>
      </w:r>
    </w:p>
    <w:p>
      <w:pPr>
        <w:spacing w:after="0" w:line="38" w:lineRule="exact"/>
        <w:rPr>
          <w:sz w:val="20"/>
          <w:szCs w:val="20"/>
          <w:color w:val="auto"/>
        </w:rPr>
      </w:pPr>
    </w:p>
    <w:p>
      <w:pPr>
        <w:ind w:left="745" w:hanging="370"/>
        <w:spacing w:after="0"/>
        <w:tabs>
          <w:tab w:leader="none" w:pos="74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$116.6 million stockholders' equity as of December 31, 2025 and $104.2 million tangible book value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as of December 31, 2025</w:t>
      </w:r>
    </w:p>
    <w:p>
      <w:pPr>
        <w:spacing w:after="0" w:line="66"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$129.3 million improvement in net loss and $66.0 million improvement in adjusted net loss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for full year 2025 compared to 2024</w:t>
      </w:r>
    </w:p>
    <w:p>
      <w:pPr>
        <w:spacing w:after="0" w:line="66"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$48.7 million consolidated total available liquidity</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as of December 31, 2025, consisting of:</w:t>
      </w:r>
    </w:p>
    <w:p>
      <w:pPr>
        <w:spacing w:after="0" w:line="62" w:lineRule="exact"/>
        <w:rPr>
          <w:sz w:val="20"/>
          <w:szCs w:val="20"/>
          <w:color w:val="auto"/>
        </w:rPr>
      </w:pPr>
    </w:p>
    <w:p>
      <w:pPr>
        <w:ind w:left="1525" w:hanging="505"/>
        <w:spacing w:after="0"/>
        <w:tabs>
          <w:tab w:leader="none" w:pos="1525" w:val="left"/>
        </w:tabs>
        <w:numPr>
          <w:ilvl w:val="2"/>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$10.4 million cash and cash equivalents</w:t>
      </w:r>
    </w:p>
    <w:p>
      <w:pPr>
        <w:spacing w:after="0" w:line="9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2"/>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$11.3 million of liquidity available to UACC under the warehouse credit facilities</w:t>
      </w:r>
    </w:p>
    <w:p>
      <w:pPr>
        <w:spacing w:after="0" w:line="9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2"/>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$27.0 million of available liquidity from delayed draw facility, further strengthening our liquidity position to execute our long-term strategy</w:t>
      </w:r>
    </w:p>
    <w:p>
      <w:pPr>
        <w:spacing w:after="0" w:line="99"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1"/>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$22.5 million preferred stock issued by Vroom Automotive LLC to SPE Holdings in January 2026</w:t>
      </w:r>
    </w:p>
    <w:p>
      <w:pPr>
        <w:spacing w:after="0" w:line="102"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1"/>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$(49.2) million</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full year adjusted net loss was favorable compared to our adjusted net loss plan of approximately $(56) million</w:t>
      </w:r>
    </w:p>
    <w:p>
      <w:pPr>
        <w:spacing w:after="0" w:line="62" w:lineRule="exact"/>
        <w:rPr>
          <w:rFonts w:ascii="Times New Roman" w:cs="Times New Roman" w:eastAsia="Times New Roman" w:hAnsi="Times New Roman"/>
          <w:sz w:val="16"/>
          <w:szCs w:val="16"/>
          <w:color w:val="auto"/>
        </w:rPr>
      </w:pPr>
    </w:p>
    <w:p>
      <w:pPr>
        <w:ind w:left="745" w:right="60" w:hanging="370"/>
        <w:spacing w:after="0" w:line="293" w:lineRule="auto"/>
        <w:tabs>
          <w:tab w:leader="none" w:pos="745" w:val="left"/>
        </w:tabs>
        <w:numPr>
          <w:ilvl w:val="1"/>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$(11.5) million net loss from continuing operations for the fourth quarter, $(54.0) million net loss from continuing operations for the period from January 15, 2025 to December 31, 2025, and $45.1 million net income from continuing operations for the period January 1, 2025 to January 15, 2025</w:t>
      </w:r>
    </w:p>
    <w:p>
      <w:pPr>
        <w:spacing w:after="0" w:line="31" w:lineRule="exact"/>
        <w:rPr>
          <w:rFonts w:ascii="Times New Roman" w:cs="Times New Roman" w:eastAsia="Times New Roman" w:hAnsi="Times New Roman"/>
          <w:sz w:val="15"/>
          <w:szCs w:val="15"/>
          <w:color w:val="auto"/>
        </w:rPr>
      </w:pPr>
    </w:p>
    <w:p>
      <w:pPr>
        <w:ind w:left="745" w:hanging="370"/>
        <w:spacing w:after="0"/>
        <w:tabs>
          <w:tab w:leader="none" w:pos="745" w:val="left"/>
        </w:tabs>
        <w:numPr>
          <w:ilvl w:val="1"/>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$(10.1) million and $(49.2) million adjusted net loss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for the fourth quarter and the Combined full year, respectively</w:t>
      </w:r>
    </w:p>
    <w:p>
      <w:pPr>
        <w:spacing w:after="0" w:line="41" w:lineRule="exact"/>
        <w:rPr>
          <w:rFonts w:ascii="Times New Roman" w:cs="Times New Roman" w:eastAsia="Times New Roman" w:hAnsi="Times New Roman"/>
          <w:sz w:val="16"/>
          <w:szCs w:val="16"/>
          <w:color w:val="auto"/>
        </w:rPr>
      </w:pPr>
    </w:p>
    <w:p>
      <w:pPr>
        <w:ind w:left="245" w:hanging="245"/>
        <w:spacing w:after="0" w:line="237" w:lineRule="auto"/>
        <w:tabs>
          <w:tab w:leader="none" w:pos="245"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Tangible book value is a non-GAAP measure and represents total stockholders' equity of $116.6 million, excluding intangible assets of $12.4 million as of December 31, 2025.</w:t>
      </w:r>
    </w:p>
    <w:p>
      <w:pPr>
        <w:spacing w:after="0" w:line="33" w:lineRule="exact"/>
        <w:rPr>
          <w:sz w:val="20"/>
          <w:szCs w:val="20"/>
          <w:color w:val="auto"/>
        </w:rPr>
      </w:pPr>
    </w:p>
    <w:p>
      <w:pPr>
        <w:ind w:left="245" w:right="260" w:hanging="236"/>
        <w:spacing w:after="0" w:line="241" w:lineRule="auto"/>
        <w:tabs>
          <w:tab w:leader="none" w:pos="225" w:val="left"/>
        </w:tabs>
        <w:rPr>
          <w:sz w:val="20"/>
          <w:szCs w:val="20"/>
          <w:color w:val="auto"/>
        </w:rPr>
      </w:pPr>
      <w:r>
        <w:rPr>
          <w:rFonts w:ascii="Arial" w:cs="Arial" w:eastAsia="Arial" w:hAnsi="Arial"/>
          <w:sz w:val="16"/>
          <w:szCs w:val="16"/>
          <w:color w:val="auto"/>
          <w:vertAlign w:val="superscript"/>
        </w:rPr>
        <w:t>(2)</w:t>
      </w:r>
      <w:r>
        <w:rPr>
          <w:rFonts w:ascii="Arial" w:cs="Arial" w:eastAsia="Arial" w:hAnsi="Arial"/>
          <w:sz w:val="16"/>
          <w:szCs w:val="16"/>
          <w:color w:val="auto"/>
          <w:vertAlign w:val="subscript"/>
        </w:rPr>
        <w:t>(3)</w:t>
      </w:r>
      <w:r>
        <w:rPr>
          <w:rFonts w:ascii="Arial" w:cs="Arial" w:eastAsia="Arial" w:hAnsi="Arial"/>
          <w:sz w:val="13"/>
          <w:szCs w:val="13"/>
          <w:color w:val="auto"/>
        </w:rPr>
        <w:tab/>
        <w:t>Adjusted net income (loss) is a non-GAAP measure. For definitions and a reconciliation to the most comparable GAAP measure, please see Non-GAAP Financial Measures section below. Total available liquidity is a non-GAAP measure and represents $10.4 million of unrestricted cash and cash equivalents, as well as $11.3 million of availability from warehouse credit facilities and $27.0 million of availability from delayed draw facility.</w:t>
      </w:r>
    </w:p>
    <w:p>
      <w:pPr>
        <w:spacing w:after="0" w:line="77" w:lineRule="exact"/>
        <w:rPr>
          <w:sz w:val="20"/>
          <w:szCs w:val="20"/>
          <w:color w:val="auto"/>
        </w:rPr>
      </w:pPr>
    </w:p>
    <w:p>
      <w:pPr>
        <w:ind w:left="5" w:right="200"/>
        <w:spacing w:after="0" w:line="246" w:lineRule="auto"/>
        <w:rPr>
          <w:sz w:val="20"/>
          <w:szCs w:val="20"/>
          <w:color w:val="auto"/>
        </w:rPr>
      </w:pPr>
      <w:r>
        <w:rPr>
          <w:rFonts w:ascii="Arial" w:cs="Arial" w:eastAsia="Arial" w:hAnsi="Arial"/>
          <w:sz w:val="16"/>
          <w:szCs w:val="16"/>
          <w:color w:val="auto"/>
        </w:rPr>
        <w:t>Tom Shortt, Chief Executive Officer of Vroom, said, “For full year 2025, our adjusted net loss improved 57% from $115 million to $ 49 million, a $66 million improvement year over year, driven by our continued focus on our Long-Term Strategic Plan. During 2025, we continued to make tech investments to enhance our dealer and accountholder experiences as well as improve our credit-scoring model.”</w:t>
      </w:r>
    </w:p>
    <w:p>
      <w:pPr>
        <w:spacing w:after="0" w:line="99"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Fresh Start Accounting</w:t>
      </w:r>
    </w:p>
    <w:p>
      <w:pPr>
        <w:spacing w:after="0" w:line="135" w:lineRule="exact"/>
        <w:rPr>
          <w:sz w:val="20"/>
          <w:szCs w:val="20"/>
          <w:color w:val="auto"/>
        </w:rPr>
      </w:pPr>
    </w:p>
    <w:p>
      <w:pPr>
        <w:ind w:left="5" w:right="80"/>
        <w:spacing w:after="0" w:line="254" w:lineRule="auto"/>
        <w:rPr>
          <w:sz w:val="20"/>
          <w:szCs w:val="20"/>
          <w:color w:val="auto"/>
        </w:rPr>
      </w:pPr>
      <w:r>
        <w:rPr>
          <w:rFonts w:ascii="Arial" w:cs="Arial" w:eastAsia="Arial" w:hAnsi="Arial"/>
          <w:sz w:val="14"/>
          <w:szCs w:val="14"/>
          <w:color w:val="auto"/>
        </w:rPr>
        <w:t>As a result of emerging from a voluntary proceeding (the “Prepackaged Chapter 11 Case”) under Chapter 11 of the United States Code, 11 U.S.C. §§ 101-1532, as amended from time to time, on January 14, 2025, (the "Effective Date") and qualifying for the application of fresh-start accounting, at the Effective Date, Vroom’s assets and liabilities were recorded at their estimated fair values which, in some cases, are significantly different than amounts included in our financial statements prior to the Effective Date. Accordingly, our consolidated financial statements after the Effective Date are not comparable with our consolidated financial statements on or before that date. References to “Successor” relate to our financial position and results of operations after the Effective Date. References to “Predecessor” refer to our financial position and results of operations on or before the Effective Date.</w:t>
      </w:r>
    </w:p>
    <w:p>
      <w:pPr>
        <w:spacing w:after="0" w:line="89" w:lineRule="exact"/>
        <w:rPr>
          <w:sz w:val="20"/>
          <w:szCs w:val="20"/>
          <w:color w:val="auto"/>
        </w:rPr>
      </w:pPr>
    </w:p>
    <w:p>
      <w:pPr>
        <w:ind w:left="5" w:right="140"/>
        <w:spacing w:after="0" w:line="265" w:lineRule="auto"/>
        <w:rPr>
          <w:sz w:val="20"/>
          <w:szCs w:val="20"/>
          <w:color w:val="auto"/>
        </w:rPr>
      </w:pPr>
      <w:r>
        <w:rPr>
          <w:rFonts w:ascii="Arial" w:cs="Arial" w:eastAsia="Arial" w:hAnsi="Arial"/>
          <w:sz w:val="14"/>
          <w:szCs w:val="14"/>
          <w:color w:val="auto"/>
        </w:rPr>
        <w:t>The combined results (referenced as “Non-GAAP Combined” or “Combined”) for the year ended December 31, 2025, represent the sum of the reported amounts for the Predecessor period from January 1, 2025, through January 14, 2025, and the Successor period from January 15, 2025, through December 31, 2025. These combined results are not considered to be prepared in accordance with U.S. generally accepted accounting principles ("GAAP") and have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467360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74" w:right="319"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14"/>
          <w:szCs w:val="14"/>
          <w:color w:val="auto"/>
        </w:rPr>
        <w:t>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year ended December 31, 2025, (prepared on a Non-GAAP basis) and year ended December 31, 2024, (prepared on a GAAP basis) may not be comparable, particularly for statement of operations line items significantly impacted by the reorganization transactions and the impact of fresh start accounting.</w:t>
      </w: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403860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FOURTH QUARTER AND FULL YEAR 2025 FINANCIAL DISCUSSION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All financial comparisons are on a year-over-year basis unless otherwise noted. The following financial information is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3"/>
                <w:szCs w:val="13"/>
                <w:b w:val="1"/>
                <w:bCs w:val="1"/>
                <w:color w:val="auto"/>
                <w:w w:val="97"/>
              </w:rPr>
              <w:t>Successor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Predecessor</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46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3"/>
                <w:szCs w:val="13"/>
                <w:b w:val="1"/>
                <w:bCs w:val="1"/>
                <w:color w:val="auto"/>
                <w:w w:val="97"/>
              </w:rPr>
              <w:t>Three Months Ended</w:t>
            </w:r>
          </w:p>
        </w:tc>
        <w:tc>
          <w:tcPr>
            <w:tcW w:w="2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50"/>
              <w:spacing w:after="0" w:line="126" w:lineRule="exact"/>
              <w:rPr>
                <w:sz w:val="20"/>
                <w:szCs w:val="20"/>
                <w:color w:val="auto"/>
              </w:rPr>
            </w:pPr>
            <w:r>
              <w:rPr>
                <w:rFonts w:ascii="Arial" w:cs="Arial" w:eastAsia="Arial" w:hAnsi="Arial"/>
                <w:sz w:val="13"/>
                <w:szCs w:val="13"/>
                <w:b w:val="1"/>
                <w:bCs w:val="1"/>
                <w:color w:val="auto"/>
                <w:w w:val="97"/>
              </w:rPr>
              <w:t>Three Months Ended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389"/>
              <w:spacing w:after="0"/>
              <w:rPr>
                <w:sz w:val="20"/>
                <w:szCs w:val="20"/>
                <w:color w:val="auto"/>
              </w:rPr>
            </w:pPr>
            <w:r>
              <w:rPr>
                <w:rFonts w:ascii="Arial" w:cs="Arial" w:eastAsia="Arial" w:hAnsi="Arial"/>
                <w:sz w:val="13"/>
                <w:szCs w:val="13"/>
                <w:b w:val="1"/>
                <w:bCs w:val="1"/>
                <w:color w:val="auto"/>
              </w:rPr>
              <w:t>$ Change</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center"/>
              <w:ind w:right="150"/>
              <w:spacing w:after="0" w:line="146" w:lineRule="exact"/>
              <w:rPr>
                <w:sz w:val="20"/>
                <w:szCs w:val="20"/>
                <w:color w:val="auto"/>
              </w:rPr>
            </w:pPr>
            <w:r>
              <w:rPr>
                <w:rFonts w:ascii="Arial" w:cs="Arial" w:eastAsia="Arial" w:hAnsi="Arial"/>
                <w:sz w:val="13"/>
                <w:szCs w:val="13"/>
                <w:b w:val="1"/>
                <w:bCs w:val="1"/>
                <w:color w:val="auto"/>
                <w:w w:val="96"/>
              </w:rPr>
              <w:t>2025</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30"/>
              <w:spacing w:after="0" w:line="146" w:lineRule="exact"/>
              <w:rPr>
                <w:sz w:val="20"/>
                <w:szCs w:val="20"/>
                <w:color w:val="auto"/>
              </w:rPr>
            </w:pPr>
            <w:r>
              <w:rPr>
                <w:rFonts w:ascii="Arial" w:cs="Arial" w:eastAsia="Arial" w:hAnsi="Arial"/>
                <w:sz w:val="13"/>
                <w:szCs w:val="13"/>
                <w:b w:val="1"/>
                <w:bCs w:val="1"/>
                <w:color w:val="auto"/>
                <w:w w:val="96"/>
              </w:rPr>
              <w:t>2024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20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43,916</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48,681</w:t>
            </w:r>
          </w:p>
        </w:tc>
        <w:tc>
          <w:tcPr>
            <w:tcW w:w="1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(4,765)</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5,163</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6,568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Securitization debt</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7,764</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020" w:type="dxa"/>
            <w:vAlign w:val="bottom"/>
          </w:tcPr>
          <w:p>
            <w:pPr>
              <w:spacing w:after="0" w:line="157" w:lineRule="exact"/>
              <w:rPr>
                <w:sz w:val="20"/>
                <w:szCs w:val="20"/>
                <w:color w:val="auto"/>
              </w:rPr>
            </w:pPr>
            <w:r>
              <w:rPr>
                <w:rFonts w:ascii="Arial" w:cs="Arial" w:eastAsia="Arial" w:hAnsi="Arial"/>
                <w:sz w:val="14"/>
                <w:szCs w:val="14"/>
                <w:color w:val="auto"/>
              </w:rPr>
              <w:t>Total interest expense</w:t>
            </w:r>
          </w:p>
        </w:tc>
        <w:tc>
          <w:tcPr>
            <w:tcW w:w="20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12,927</w:t>
            </w: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line="157" w:lineRule="exact"/>
              <w:rPr>
                <w:sz w:val="20"/>
                <w:szCs w:val="20"/>
                <w:color w:val="auto"/>
              </w:rPr>
            </w:pPr>
            <w:r>
              <w:rPr>
                <w:rFonts w:ascii="Arial" w:cs="Arial" w:eastAsia="Arial" w:hAnsi="Arial"/>
                <w:sz w:val="14"/>
                <w:szCs w:val="14"/>
                <w:color w:val="auto"/>
              </w:rPr>
              <w:t>14,692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0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30,989</w:t>
            </w:r>
          </w:p>
        </w:tc>
        <w:tc>
          <w:tcPr>
            <w:tcW w:w="26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33,989</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23,457</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31,974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(8,517)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20" w:type="dxa"/>
            <w:vAlign w:val="bottom"/>
            <w:tcBorders>
              <w:top w:val="single" w:sz="8" w:color="CFF0FC"/>
            </w:tcBorders>
          </w:tcPr>
          <w:p>
            <w:pPr>
              <w:spacing w:after="0" w:line="157" w:lineRule="exact"/>
              <w:rPr>
                <w:sz w:val="20"/>
                <w:szCs w:val="20"/>
                <w:color w:val="auto"/>
              </w:rPr>
            </w:pPr>
            <w:r>
              <w:rPr>
                <w:rFonts w:ascii="Arial" w:cs="Arial" w:eastAsia="Arial" w:hAnsi="Arial"/>
                <w:sz w:val="14"/>
                <w:szCs w:val="14"/>
                <w:color w:val="auto"/>
              </w:rPr>
              <w:t>Net interest income after losses and recoveries</w:t>
            </w:r>
          </w:p>
        </w:tc>
        <w:tc>
          <w:tcPr>
            <w:tcW w:w="2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7,532</w:t>
            </w:r>
          </w:p>
        </w:tc>
        <w:tc>
          <w:tcPr>
            <w:tcW w:w="260" w:type="dxa"/>
            <w:vAlign w:val="bottom"/>
            <w:tcBorders>
              <w:top w:val="single" w:sz="8" w:color="CFF0FC"/>
              <w:right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2,015</w:t>
            </w: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5,517</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020" w:type="dxa"/>
            <w:vAlign w:val="bottom"/>
          </w:tcPr>
          <w:p>
            <w:pPr>
              <w:spacing w:after="0"/>
              <w:rPr>
                <w:sz w:val="20"/>
                <w:szCs w:val="20"/>
                <w:color w:val="auto"/>
              </w:rPr>
            </w:pPr>
            <w:r>
              <w:rPr>
                <w:rFonts w:ascii="Arial" w:cs="Arial" w:eastAsia="Arial" w:hAnsi="Arial"/>
                <w:sz w:val="14"/>
                <w:szCs w:val="14"/>
                <w:color w:val="auto"/>
              </w:rPr>
              <w:t>Noninterest income:</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Servicing income</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Warranties and GAP income (loss), net</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3,590</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1,737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CarStory revenue</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1,329</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1,905</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0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noninterest income</w:t>
            </w: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7,913</w:t>
            </w:r>
          </w:p>
        </w:tc>
        <w:tc>
          <w:tcPr>
            <w:tcW w:w="26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8,471</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16,777</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20,642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(3,865)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2,973</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Software and IT costs</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2,985</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3,065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(6,088)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Interest expense on corporate debt</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913</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1,285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Impairment charges</w:t>
            </w:r>
          </w:p>
        </w:tc>
        <w:tc>
          <w:tcPr>
            <w:tcW w:w="200" w:type="dxa"/>
            <w:vAlign w:val="bottom"/>
            <w:shd w:val="clear" w:color="auto" w:fill="CFF0FC"/>
          </w:tcPr>
          <w:p>
            <w:pPr>
              <w:spacing w:after="0"/>
              <w:rPr>
                <w:sz w:val="14"/>
                <w:szCs w:val="14"/>
                <w:color w:val="auto"/>
              </w:rPr>
            </w:pPr>
          </w:p>
        </w:tc>
        <w:tc>
          <w:tcPr>
            <w:tcW w:w="152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2,342</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3,443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0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expenses</w:t>
            </w: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27,025</w:t>
            </w:r>
          </w:p>
        </w:tc>
        <w:tc>
          <w:tcPr>
            <w:tcW w:w="26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41,175</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(14,150)</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0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Borders>
              <w:top w:val="single" w:sz="8" w:color="CFF0FC"/>
              <w:right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4"/>
                <w:szCs w:val="14"/>
                <w:color w:val="auto"/>
              </w:rPr>
              <w:t>Loss from continuing operations before reorganization items and provision for income taxes</w:t>
            </w:r>
          </w:p>
        </w:tc>
        <w:tc>
          <w:tcPr>
            <w:tcW w:w="200" w:type="dxa"/>
            <w:vAlign w:val="bottom"/>
            <w:shd w:val="clear" w:color="auto" w:fill="CFF0FC"/>
          </w:tcPr>
          <w:p>
            <w:pPr>
              <w:spacing w:after="0"/>
              <w:rPr>
                <w:sz w:val="14"/>
                <w:szCs w:val="14"/>
                <w:color w:val="auto"/>
              </w:rPr>
            </w:pPr>
          </w:p>
        </w:tc>
        <w:tc>
          <w:tcPr>
            <w:tcW w:w="15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(11,580)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(30,689)</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spacing w:after="0"/>
              <w:rPr>
                <w:sz w:val="20"/>
                <w:szCs w:val="20"/>
                <w:color w:val="auto"/>
              </w:rPr>
            </w:pPr>
            <w:r>
              <w:rPr>
                <w:rFonts w:ascii="Arial" w:cs="Arial" w:eastAsia="Arial" w:hAnsi="Arial"/>
                <w:sz w:val="14"/>
                <w:szCs w:val="14"/>
                <w:color w:val="auto"/>
              </w:rPr>
              <w:t>Reorganization items, net</w:t>
            </w:r>
          </w:p>
        </w:tc>
        <w:tc>
          <w:tcPr>
            <w:tcW w:w="200" w:type="dxa"/>
            <w:vAlign w:val="bottom"/>
          </w:tcPr>
          <w:p>
            <w:pPr>
              <w:spacing w:after="0"/>
              <w:rPr>
                <w:sz w:val="14"/>
                <w:szCs w:val="14"/>
                <w:color w:val="auto"/>
              </w:rPr>
            </w:pPr>
          </w:p>
        </w:tc>
        <w:tc>
          <w:tcPr>
            <w:tcW w:w="15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(5,564)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4"/>
                <w:szCs w:val="14"/>
                <w:color w:val="auto"/>
              </w:rPr>
              <w:t>Income (loss) from continuing operations before provision for income taxes</w:t>
            </w:r>
          </w:p>
        </w:tc>
        <w:tc>
          <w:tcPr>
            <w:tcW w:w="200" w:type="dxa"/>
            <w:vAlign w:val="bottom"/>
            <w:shd w:val="clear" w:color="auto" w:fill="CFF0FC"/>
          </w:tcPr>
          <w:p>
            <w:pPr>
              <w:spacing w:after="0"/>
              <w:rPr>
                <w:sz w:val="14"/>
                <w:szCs w:val="14"/>
                <w:color w:val="auto"/>
              </w:rPr>
            </w:pPr>
          </w:p>
        </w:tc>
        <w:tc>
          <w:tcPr>
            <w:tcW w:w="15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(11,580)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(36,253)</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Provision (benefit) for income taxes from continuing operations</w:t>
            </w:r>
          </w:p>
        </w:tc>
        <w:tc>
          <w:tcPr>
            <w:tcW w:w="200" w:type="dxa"/>
            <w:vAlign w:val="bottom"/>
          </w:tcPr>
          <w:p>
            <w:pPr>
              <w:spacing w:after="0"/>
              <w:rPr>
                <w:sz w:val="14"/>
                <w:szCs w:val="14"/>
                <w:color w:val="auto"/>
              </w:rPr>
            </w:pPr>
          </w:p>
        </w:tc>
        <w:tc>
          <w:tcPr>
            <w:tcW w:w="15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0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loss from continuing operations</w:t>
            </w:r>
          </w:p>
        </w:tc>
        <w:tc>
          <w:tcPr>
            <w:tcW w:w="200" w:type="dxa"/>
            <w:vAlign w:val="bottom"/>
            <w:shd w:val="clear" w:color="auto" w:fill="CFF0FC"/>
          </w:tcPr>
          <w:p>
            <w:pPr>
              <w:jc w:val="right"/>
              <w:ind w:right="51"/>
              <w:spacing w:after="0" w:line="157" w:lineRule="exact"/>
              <w:rPr>
                <w:sz w:val="20"/>
                <w:szCs w:val="20"/>
                <w:color w:val="auto"/>
              </w:rPr>
            </w:pPr>
            <w:r>
              <w:rPr>
                <w:rFonts w:ascii="Arial" w:cs="Arial" w:eastAsia="Arial" w:hAnsi="Arial"/>
                <w:sz w:val="14"/>
                <w:szCs w:val="14"/>
                <w:color w:val="auto"/>
                <w:w w:val="76"/>
              </w:rPr>
              <w:t>$</w:t>
            </w:r>
          </w:p>
        </w:tc>
        <w:tc>
          <w:tcPr>
            <w:tcW w:w="1520" w:type="dxa"/>
            <w:vAlign w:val="bottom"/>
            <w:tcBorders>
              <w:right w:val="single" w:sz="8" w:color="auto"/>
            </w:tcBorders>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(11,521)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(36,716)</w:t>
            </w:r>
          </w:p>
        </w:tc>
        <w:tc>
          <w:tcPr>
            <w:tcW w:w="400" w:type="dxa"/>
            <w:vAlign w:val="bottom"/>
            <w:gridSpan w:val="2"/>
            <w:shd w:val="clear" w:color="auto" w:fill="CFF0FC"/>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25,195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6020" w:type="dxa"/>
            <w:vAlign w:val="bottom"/>
          </w:tcPr>
          <w:p>
            <w:pPr>
              <w:spacing w:after="0" w:line="141" w:lineRule="exact"/>
              <w:rPr>
                <w:sz w:val="20"/>
                <w:szCs w:val="20"/>
                <w:color w:val="auto"/>
              </w:rPr>
            </w:pPr>
            <w:r>
              <w:rPr>
                <w:rFonts w:ascii="Arial" w:cs="Arial" w:eastAsia="Arial" w:hAnsi="Arial"/>
                <w:sz w:val="14"/>
                <w:szCs w:val="14"/>
                <w:color w:val="auto"/>
              </w:rPr>
              <w:t>Net income (loss) from discontinued operations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line="141" w:lineRule="exact"/>
              <w:rPr>
                <w:sz w:val="20"/>
                <w:szCs w:val="20"/>
                <w:color w:val="auto"/>
              </w:rPr>
            </w:pPr>
            <w:r>
              <w:rPr>
                <w:rFonts w:ascii="Arial" w:cs="Arial" w:eastAsia="Arial" w:hAnsi="Arial"/>
                <w:sz w:val="14"/>
                <w:szCs w:val="14"/>
                <w:color w:val="auto"/>
              </w:rPr>
              <w:t>118</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line="141"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41" w:lineRule="exact"/>
              <w:rPr>
                <w:sz w:val="20"/>
                <w:szCs w:val="20"/>
                <w:color w:val="auto"/>
              </w:rPr>
            </w:pPr>
            <w:r>
              <w:rPr>
                <w:rFonts w:ascii="Arial" w:cs="Arial" w:eastAsia="Arial" w:hAnsi="Arial"/>
                <w:sz w:val="14"/>
                <w:szCs w:val="14"/>
                <w:color w:val="auto"/>
              </w:rPr>
              <w:t>140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ind w:right="109"/>
              <w:spacing w:after="0" w:line="141"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FF0FC"/>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tcBorders>
              <w:right w:val="single" w:sz="8" w:color="auto"/>
            </w:tcBorders>
            <w:gridSpan w:val="2"/>
            <w:shd w:val="clear" w:color="auto" w:fill="CFF0FC"/>
          </w:tcPr>
          <w:p>
            <w:pPr>
              <w:jc w:val="right"/>
              <w:ind w:right="220"/>
              <w:spacing w:after="0" w:line="141" w:lineRule="exact"/>
              <w:rPr>
                <w:sz w:val="20"/>
                <w:szCs w:val="20"/>
                <w:color w:val="auto"/>
              </w:rPr>
            </w:pPr>
            <w:r>
              <w:rPr>
                <w:rFonts w:ascii="Arial" w:cs="Arial" w:eastAsia="Arial" w:hAnsi="Arial"/>
                <w:sz w:val="14"/>
                <w:szCs w:val="14"/>
                <w:color w:val="auto"/>
              </w:rPr>
              <w:t>(11,403)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FF0FC"/>
          </w:tcPr>
          <w:p>
            <w:pPr>
              <w:jc w:val="right"/>
              <w:ind w:right="140"/>
              <w:spacing w:after="0" w:line="141" w:lineRule="exact"/>
              <w:rPr>
                <w:sz w:val="20"/>
                <w:szCs w:val="20"/>
                <w:color w:val="auto"/>
              </w:rPr>
            </w:pPr>
            <w:r>
              <w:rPr>
                <w:rFonts w:ascii="Arial" w:cs="Arial" w:eastAsia="Arial" w:hAnsi="Arial"/>
                <w:sz w:val="14"/>
                <w:szCs w:val="14"/>
                <w:color w:val="auto"/>
              </w:rPr>
              <w:t>(36,576)</w:t>
            </w:r>
          </w:p>
        </w:tc>
        <w:tc>
          <w:tcPr>
            <w:tcW w:w="400" w:type="dxa"/>
            <w:vAlign w:val="bottom"/>
            <w:gridSpan w:val="2"/>
            <w:shd w:val="clear" w:color="auto" w:fill="CFF0FC"/>
          </w:tcPr>
          <w:p>
            <w:pPr>
              <w:jc w:val="right"/>
              <w:ind w:right="109"/>
              <w:spacing w:after="0" w:line="141"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25,173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-3281045</wp:posOffset>
            </wp:positionV>
            <wp:extent cx="673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-3281045</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-3281045</wp:posOffset>
            </wp:positionV>
            <wp:extent cx="749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-2845435</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-2845435</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-2845435</wp:posOffset>
            </wp:positionV>
            <wp:extent cx="749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-923290</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-923290</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-923290</wp:posOffset>
            </wp:positionV>
            <wp:extent cx="749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-277495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-262255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-277495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-262255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-277495</wp:posOffset>
            </wp:positionV>
            <wp:extent cx="749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-262255</wp:posOffset>
            </wp:positionV>
            <wp:extent cx="749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-21590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-6985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-21590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-6985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-21590</wp:posOffset>
            </wp:positionV>
            <wp:extent cx="749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-6985</wp:posOffset>
            </wp:positionV>
            <wp:extent cx="749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4"/>
          </w:tcPr>
          <w:p>
            <w:pPr>
              <w:ind w:left="80"/>
              <w:spacing w:after="0"/>
              <w:rPr>
                <w:sz w:val="20"/>
                <w:szCs w:val="20"/>
                <w:color w:val="auto"/>
              </w:rPr>
            </w:pPr>
            <w:r>
              <w:rPr>
                <w:rFonts w:ascii="Arial" w:cs="Arial" w:eastAsia="Arial" w:hAnsi="Arial"/>
                <w:sz w:val="13"/>
                <w:szCs w:val="13"/>
                <w:b w:val="1"/>
                <w:bCs w:val="1"/>
                <w:color w:val="auto"/>
              </w:rPr>
              <w:t>Non-GAAP</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7"/>
              </w:rPr>
              <w:t>Successor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Predecessor</w:t>
            </w:r>
          </w:p>
        </w:tc>
        <w:tc>
          <w:tcPr>
            <w:tcW w:w="1260" w:type="dxa"/>
            <w:vAlign w:val="bottom"/>
            <w:gridSpan w:val="4"/>
          </w:tcPr>
          <w:p>
            <w:pPr>
              <w:ind w:left="80"/>
              <w:spacing w:after="0"/>
              <w:rPr>
                <w:sz w:val="20"/>
                <w:szCs w:val="20"/>
                <w:color w:val="auto"/>
              </w:rPr>
            </w:pPr>
            <w:r>
              <w:rPr>
                <w:rFonts w:ascii="Arial" w:cs="Arial" w:eastAsia="Arial" w:hAnsi="Arial"/>
                <w:sz w:val="13"/>
                <w:szCs w:val="13"/>
                <w:b w:val="1"/>
                <w:bCs w:val="1"/>
                <w:color w:val="auto"/>
              </w:rPr>
              <w:t>Combined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Predecessor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0"/>
              <w:spacing w:after="0" w:line="126" w:lineRule="exact"/>
              <w:rPr>
                <w:sz w:val="20"/>
                <w:szCs w:val="20"/>
                <w:color w:val="auto"/>
              </w:rPr>
            </w:pPr>
            <w:r>
              <w:rPr>
                <w:rFonts w:ascii="Arial" w:cs="Arial" w:eastAsia="Arial" w:hAnsi="Arial"/>
                <w:sz w:val="13"/>
                <w:szCs w:val="13"/>
                <w:b w:val="1"/>
                <w:bCs w:val="1"/>
                <w:color w:val="auto"/>
                <w:w w:val="95"/>
              </w:rPr>
              <w:t>Period from</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0"/>
              <w:spacing w:after="0" w:line="126" w:lineRule="exact"/>
              <w:rPr>
                <w:sz w:val="20"/>
                <w:szCs w:val="20"/>
                <w:color w:val="auto"/>
              </w:rPr>
            </w:pPr>
            <w:r>
              <w:rPr>
                <w:rFonts w:ascii="Arial" w:cs="Arial" w:eastAsia="Arial" w:hAnsi="Arial"/>
                <w:sz w:val="13"/>
                <w:szCs w:val="13"/>
                <w:b w:val="1"/>
                <w:bCs w:val="1"/>
                <w:color w:val="auto"/>
                <w:w w:val="95"/>
              </w:rPr>
              <w:t>Period from</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97"/>
              </w:rPr>
              <w:t>January 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95"/>
              </w:rPr>
              <w:t>January 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380"/>
              <w:spacing w:after="0" w:line="142" w:lineRule="exact"/>
              <w:rPr>
                <w:sz w:val="20"/>
                <w:szCs w:val="20"/>
                <w:color w:val="auto"/>
              </w:rPr>
            </w:pPr>
            <w:r>
              <w:rPr>
                <w:rFonts w:ascii="Arial" w:cs="Arial" w:eastAsia="Arial" w:hAnsi="Arial"/>
                <w:sz w:val="13"/>
                <w:szCs w:val="13"/>
                <w:b w:val="1"/>
                <w:bCs w:val="1"/>
                <w:color w:val="auto"/>
                <w:w w:val="97"/>
              </w:rPr>
              <w:t>through</w:t>
            </w:r>
          </w:p>
        </w:tc>
        <w:tc>
          <w:tcPr>
            <w:tcW w:w="100" w:type="dxa"/>
            <w:vAlign w:val="bottom"/>
          </w:tcPr>
          <w:p>
            <w:pPr>
              <w:spacing w:after="0"/>
              <w:rPr>
                <w:sz w:val="12"/>
                <w:szCs w:val="12"/>
                <w:color w:val="auto"/>
              </w:rPr>
            </w:pPr>
          </w:p>
        </w:tc>
        <w:tc>
          <w:tcPr>
            <w:tcW w:w="120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through January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5"/>
              </w:rPr>
              <w:t>Year Ended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5"/>
              </w:rPr>
              <w:t>Year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December 31,</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Non-GAAP</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50"/>
              <w:spacing w:after="0" w:line="146" w:lineRule="exact"/>
              <w:rPr>
                <w:sz w:val="20"/>
                <w:szCs w:val="20"/>
                <w:color w:val="auto"/>
              </w:rPr>
            </w:pPr>
            <w:r>
              <w:rPr>
                <w:rFonts w:ascii="Arial" w:cs="Arial" w:eastAsia="Arial" w:hAnsi="Arial"/>
                <w:sz w:val="13"/>
                <w:szCs w:val="13"/>
                <w:b w:val="1"/>
                <w:bCs w:val="1"/>
                <w:color w:val="auto"/>
                <w:w w:val="96"/>
              </w:rPr>
              <w:t>2025</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0"/>
              <w:spacing w:after="0" w:line="146" w:lineRule="exact"/>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50"/>
              <w:spacing w:after="0" w:line="146" w:lineRule="exact"/>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0"/>
              <w:spacing w:after="0" w:line="146" w:lineRule="exact"/>
              <w:rPr>
                <w:sz w:val="20"/>
                <w:szCs w:val="20"/>
                <w:color w:val="auto"/>
              </w:rPr>
            </w:pPr>
            <w:r>
              <w:rPr>
                <w:rFonts w:ascii="Arial" w:cs="Arial" w:eastAsia="Arial" w:hAnsi="Arial"/>
                <w:sz w:val="13"/>
                <w:szCs w:val="13"/>
                <w:b w:val="1"/>
                <w:bCs w:val="1"/>
                <w:color w:val="auto"/>
                <w:w w:val="96"/>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90"/>
              <w:spacing w:after="0" w:line="146" w:lineRule="exact"/>
              <w:rPr>
                <w:sz w:val="20"/>
                <w:szCs w:val="20"/>
                <w:color w:val="auto"/>
              </w:rPr>
            </w:pPr>
            <w:r>
              <w:rPr>
                <w:rFonts w:ascii="Arial" w:cs="Arial" w:eastAsia="Arial" w:hAnsi="Arial"/>
                <w:sz w:val="13"/>
                <w:szCs w:val="13"/>
                <w:b w:val="1"/>
                <w:bCs w:val="1"/>
                <w:color w:val="auto"/>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6"/>
          </w:tcPr>
          <w:p>
            <w:pPr>
              <w:jc w:val="right"/>
              <w:ind w:right="86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171,650</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7,183</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178,833</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201,833</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(23,000)</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17,584</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18,601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29,276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(10,675)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Securitization debt</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32,966</w:t>
            </w:r>
          </w:p>
        </w:tc>
        <w:tc>
          <w:tcPr>
            <w:tcW w:w="220" w:type="dxa"/>
            <w:vAlign w:val="bottom"/>
            <w:tcBorders>
              <w:bottom w:val="single" w:sz="8" w:color="CFF0FC"/>
              <w:right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1,178</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34,144</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30,084</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4,060</w:t>
            </w:r>
          </w:p>
        </w:tc>
        <w:tc>
          <w:tcPr>
            <w:tcW w:w="2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80" w:type="dxa"/>
            <w:vAlign w:val="bottom"/>
          </w:tcPr>
          <w:p>
            <w:pPr>
              <w:spacing w:after="0" w:line="157" w:lineRule="exact"/>
              <w:rPr>
                <w:sz w:val="20"/>
                <w:szCs w:val="20"/>
                <w:color w:val="auto"/>
              </w:rPr>
            </w:pPr>
            <w:r>
              <w:rPr>
                <w:rFonts w:ascii="Arial" w:cs="Arial" w:eastAsia="Arial" w:hAnsi="Arial"/>
                <w:sz w:val="14"/>
                <w:szCs w:val="14"/>
                <w:color w:val="auto"/>
              </w:rPr>
              <w:t>Total interest expense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50,550</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2,195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52,745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59,360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(6,615)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4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121,100</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4,988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126,088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142,473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80"/>
              <w:spacing w:after="0" w:line="157" w:lineRule="exact"/>
              <w:rPr>
                <w:sz w:val="20"/>
                <w:szCs w:val="20"/>
                <w:color w:val="auto"/>
              </w:rPr>
            </w:pPr>
            <w:r>
              <w:rPr>
                <w:rFonts w:ascii="Arial" w:cs="Arial" w:eastAsia="Arial" w:hAnsi="Arial"/>
                <w:sz w:val="14"/>
                <w:szCs w:val="14"/>
                <w:color w:val="auto"/>
              </w:rPr>
              <w:t>(16,385)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97,259</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104,051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119,868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(15,817)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480" w:type="dxa"/>
            <w:vAlign w:val="bottom"/>
          </w:tcPr>
          <w:p>
            <w:pPr>
              <w:spacing w:after="0" w:line="157" w:lineRule="exact"/>
              <w:rPr>
                <w:sz w:val="20"/>
                <w:szCs w:val="20"/>
                <w:color w:val="auto"/>
              </w:rPr>
            </w:pPr>
            <w:r>
              <w:rPr>
                <w:rFonts w:ascii="Arial" w:cs="Arial" w:eastAsia="Arial" w:hAnsi="Arial"/>
                <w:sz w:val="14"/>
                <w:szCs w:val="14"/>
                <w:color w:val="auto"/>
              </w:rPr>
              <w:t>Net interest income after losses and recoveries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23,841</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(1,804)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22,037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22,605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80" w:type="dxa"/>
            <w:vAlign w:val="bottom"/>
          </w:tcPr>
          <w:p>
            <w:pPr>
              <w:spacing w:after="0"/>
              <w:rPr>
                <w:sz w:val="20"/>
                <w:szCs w:val="20"/>
                <w:color w:val="auto"/>
              </w:rPr>
            </w:pPr>
            <w:r>
              <w:rPr>
                <w:rFonts w:ascii="Arial" w:cs="Arial" w:eastAsia="Arial" w:hAnsi="Arial"/>
                <w:sz w:val="14"/>
                <w:szCs w:val="14"/>
                <w:color w:val="auto"/>
              </w:rPr>
              <w:t>Noninterest 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Servicing income</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4,690</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Warranties and GAP income (loss), net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14,466</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(2,610)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17,383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CarStory revenue</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6,914</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11,610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(4,264)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10,377</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noninterest income</w:t>
            </w:r>
          </w:p>
        </w:tc>
        <w:tc>
          <w:tcPr>
            <w:tcW w:w="1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36,447</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1,044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37,491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26,351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11,140</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70,222</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73,045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97,293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(24,248)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11,871</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12,168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12,035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Software and IT costs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11,869</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(2,757)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3,350</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29,086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(24,679)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Interest expense on corporate debt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2,797</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Impairment charges</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9,775</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(6,148)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4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expenses</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114,040</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5,181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119,221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180,776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80"/>
              <w:spacing w:after="0" w:line="157" w:lineRule="exact"/>
              <w:rPr>
                <w:sz w:val="20"/>
                <w:szCs w:val="20"/>
                <w:color w:val="auto"/>
              </w:rPr>
            </w:pPr>
            <w:r>
              <w:rPr>
                <w:rFonts w:ascii="Arial" w:cs="Arial" w:eastAsia="Arial" w:hAnsi="Arial"/>
                <w:sz w:val="14"/>
                <w:szCs w:val="14"/>
                <w:color w:val="auto"/>
              </w:rPr>
              <w:t>(61,555)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48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CFF0FC"/>
              <w:right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48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Loss from continuing operations before reorganization items and</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(53,752)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(5,941)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(59,693)</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(131,820)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72,127</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Arial" w:cs="Arial" w:eastAsia="Arial" w:hAnsi="Arial"/>
                <w:sz w:val="14"/>
                <w:szCs w:val="14"/>
                <w:color w:val="auto"/>
              </w:rPr>
              <w:t>Reorganization items, net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51,036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51,036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(5,564)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56,600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Income (loss) from continuing operations before provision for income</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4"/>
                <w:szCs w:val="14"/>
                <w:color w:val="auto"/>
              </w:rPr>
              <w:t>taxes</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(53,752)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45,095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(8,657)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(137,384)</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128,727</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Arial" w:cs="Arial" w:eastAsia="Arial" w:hAnsi="Arial"/>
                <w:sz w:val="14"/>
                <w:szCs w:val="14"/>
                <w:color w:val="auto"/>
              </w:rPr>
              <w:t>Provision for income taxes from continuing operations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294</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4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income (loss) from continuing operations</w:t>
            </w:r>
          </w:p>
        </w:tc>
        <w:tc>
          <w:tcPr>
            <w:tcW w:w="280" w:type="dxa"/>
            <w:vAlign w:val="bottom"/>
            <w:gridSpan w:val="2"/>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gridSpan w:val="2"/>
            <w:shd w:val="clear" w:color="auto" w:fill="CFF0FC"/>
          </w:tcPr>
          <w:p>
            <w:pPr>
              <w:jc w:val="right"/>
              <w:ind w:right="180"/>
              <w:spacing w:after="0" w:line="157" w:lineRule="exact"/>
              <w:rPr>
                <w:sz w:val="20"/>
                <w:szCs w:val="20"/>
                <w:color w:val="auto"/>
              </w:rPr>
            </w:pPr>
            <w:r>
              <w:rPr>
                <w:rFonts w:ascii="Arial" w:cs="Arial" w:eastAsia="Arial" w:hAnsi="Arial"/>
                <w:sz w:val="14"/>
                <w:szCs w:val="14"/>
                <w:color w:val="auto"/>
              </w:rPr>
              <w:t>(54,046)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45,090</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80"/>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(8,956)</w:t>
            </w:r>
          </w:p>
        </w:tc>
        <w:tc>
          <w:tcPr>
            <w:tcW w:w="200" w:type="dxa"/>
            <w:vAlign w:val="bottom"/>
            <w:gridSpan w:val="2"/>
            <w:shd w:val="clear" w:color="auto" w:fill="CFF0FC"/>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(138,240)</w:t>
            </w:r>
          </w:p>
        </w:tc>
        <w:tc>
          <w:tcPr>
            <w:tcW w:w="22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129,284</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4480" w:type="dxa"/>
            <w:vAlign w:val="bottom"/>
          </w:tcPr>
          <w:p>
            <w:pPr>
              <w:spacing w:after="0" w:line="141" w:lineRule="exact"/>
              <w:rPr>
                <w:sz w:val="20"/>
                <w:szCs w:val="20"/>
                <w:color w:val="auto"/>
              </w:rPr>
            </w:pPr>
            <w:r>
              <w:rPr>
                <w:rFonts w:ascii="Arial" w:cs="Arial" w:eastAsia="Arial" w:hAnsi="Arial"/>
                <w:sz w:val="14"/>
                <w:szCs w:val="14"/>
                <w:color w:val="auto"/>
              </w:rPr>
              <w:t>Net income (loss) from discontinued operations</w:t>
            </w:r>
          </w:p>
        </w:tc>
        <w:tc>
          <w:tcPr>
            <w:tcW w:w="28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1" w:lineRule="exact"/>
              <w:rPr>
                <w:sz w:val="20"/>
                <w:szCs w:val="20"/>
                <w:color w:val="auto"/>
              </w:rPr>
            </w:pPr>
            <w:r>
              <w:rPr>
                <w:rFonts w:ascii="Arial" w:cs="Arial" w:eastAsia="Arial" w:hAnsi="Arial"/>
                <w:sz w:val="14"/>
                <w:szCs w:val="14"/>
                <w:color w:val="auto"/>
              </w:rPr>
              <w:t>996</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(4)</w:t>
            </w:r>
          </w:p>
        </w:tc>
        <w:tc>
          <w:tcPr>
            <w:tcW w:w="1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1" w:lineRule="exact"/>
              <w:rPr>
                <w:sz w:val="20"/>
                <w:szCs w:val="20"/>
                <w:color w:val="auto"/>
              </w:rPr>
            </w:pPr>
            <w:r>
              <w:rPr>
                <w:rFonts w:ascii="Arial" w:cs="Arial" w:eastAsia="Arial" w:hAnsi="Arial"/>
                <w:sz w:val="14"/>
                <w:szCs w:val="14"/>
                <w:color w:val="auto"/>
              </w:rPr>
              <w:t>992</w:t>
            </w:r>
          </w:p>
        </w:tc>
        <w:tc>
          <w:tcPr>
            <w:tcW w:w="120" w:type="dxa"/>
            <w:vAlign w:val="bottom"/>
          </w:tcPr>
          <w:p>
            <w:pPr>
              <w:spacing w:after="0"/>
              <w:rPr>
                <w:sz w:val="12"/>
                <w:szCs w:val="12"/>
                <w:color w:val="auto"/>
              </w:rPr>
            </w:pPr>
          </w:p>
        </w:tc>
        <w:tc>
          <w:tcPr>
            <w:tcW w:w="20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(26,884)</w:t>
            </w:r>
          </w:p>
        </w:tc>
        <w:tc>
          <w:tcPr>
            <w:tcW w:w="2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1" w:lineRule="exact"/>
              <w:rPr>
                <w:sz w:val="20"/>
                <w:szCs w:val="20"/>
                <w:color w:val="auto"/>
              </w:rPr>
            </w:pPr>
            <w:r>
              <w:rPr>
                <w:rFonts w:ascii="Arial" w:cs="Arial" w:eastAsia="Arial" w:hAnsi="Arial"/>
                <w:sz w:val="14"/>
                <w:szCs w:val="14"/>
                <w:color w:val="auto"/>
              </w:rPr>
              <w:t>27,876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Net income (loss)</w:t>
            </w:r>
          </w:p>
        </w:tc>
        <w:tc>
          <w:tcPr>
            <w:tcW w:w="280" w:type="dxa"/>
            <w:vAlign w:val="bottom"/>
            <w:gridSpan w:val="2"/>
            <w:shd w:val="clear" w:color="auto" w:fill="CFF0FC"/>
          </w:tcPr>
          <w:p>
            <w:pPr>
              <w:jc w:val="right"/>
              <w:ind w:right="20"/>
              <w:spacing w:after="0" w:line="141"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gridSpan w:val="2"/>
            <w:shd w:val="clear" w:color="auto" w:fill="CFF0FC"/>
          </w:tcPr>
          <w:p>
            <w:pPr>
              <w:jc w:val="right"/>
              <w:ind w:right="180"/>
              <w:spacing w:after="0" w:line="141" w:lineRule="exact"/>
              <w:rPr>
                <w:sz w:val="20"/>
                <w:szCs w:val="20"/>
                <w:color w:val="auto"/>
              </w:rPr>
            </w:pPr>
            <w:r>
              <w:rPr>
                <w:rFonts w:ascii="Arial" w:cs="Arial" w:eastAsia="Arial" w:hAnsi="Arial"/>
                <w:sz w:val="14"/>
                <w:szCs w:val="14"/>
                <w:color w:val="auto"/>
              </w:rPr>
              <w:t>(53,050)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45,086</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line="141"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0"/>
              <w:spacing w:after="0" w:line="141" w:lineRule="exact"/>
              <w:rPr>
                <w:sz w:val="20"/>
                <w:szCs w:val="20"/>
                <w:color w:val="auto"/>
              </w:rPr>
            </w:pPr>
            <w:r>
              <w:rPr>
                <w:rFonts w:ascii="Arial" w:cs="Arial" w:eastAsia="Arial" w:hAnsi="Arial"/>
                <w:sz w:val="14"/>
                <w:szCs w:val="14"/>
                <w:color w:val="auto"/>
              </w:rPr>
              <w:t>(7,964)</w:t>
            </w:r>
          </w:p>
        </w:tc>
        <w:tc>
          <w:tcPr>
            <w:tcW w:w="200" w:type="dxa"/>
            <w:vAlign w:val="bottom"/>
            <w:gridSpan w:val="2"/>
            <w:shd w:val="clear" w:color="auto" w:fill="CFF0FC"/>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80"/>
              <w:spacing w:after="0" w:line="141" w:lineRule="exact"/>
              <w:rPr>
                <w:sz w:val="20"/>
                <w:szCs w:val="20"/>
                <w:color w:val="auto"/>
              </w:rPr>
            </w:pPr>
            <w:r>
              <w:rPr>
                <w:rFonts w:ascii="Arial" w:cs="Arial" w:eastAsia="Arial" w:hAnsi="Arial"/>
                <w:sz w:val="14"/>
                <w:szCs w:val="14"/>
                <w:color w:val="auto"/>
              </w:rPr>
              <w:t>(165,124)</w:t>
            </w:r>
          </w:p>
        </w:tc>
        <w:tc>
          <w:tcPr>
            <w:tcW w:w="220" w:type="dxa"/>
            <w:vAlign w:val="bottom"/>
            <w:gridSpan w:val="2"/>
            <w:shd w:val="clear" w:color="auto" w:fill="CFF0FC"/>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157,160</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-3491230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-3491230</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-3491230</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-3491230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-3491230</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-3055620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-3055620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-3055620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-3055620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-3055620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-1133475</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-1133475</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-1133475</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-1133475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-1133475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-277495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-262255</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-277495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-262255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-277495</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-262255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-277495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-262255</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-277495</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-262255</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-21590</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-6985</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-21590</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-6985</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-21590</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-6985</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-21590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-6985</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-21590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-6985</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8"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Results by Segment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UACC</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Successor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Predecessor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68"/>
              <w:spacing w:after="0" w:line="145" w:lineRule="exact"/>
              <w:rPr>
                <w:sz w:val="20"/>
                <w:szCs w:val="20"/>
                <w:color w:val="auto"/>
              </w:rPr>
            </w:pPr>
            <w:r>
              <w:rPr>
                <w:rFonts w:ascii="Arial" w:cs="Arial" w:eastAsia="Arial" w:hAnsi="Arial"/>
                <w:sz w:val="14"/>
                <w:szCs w:val="14"/>
                <w:b w:val="1"/>
                <w:bCs w:val="1"/>
                <w:color w:val="auto"/>
              </w:rPr>
              <w:t>Three Months</w:t>
            </w:r>
          </w:p>
        </w:tc>
        <w:tc>
          <w:tcPr>
            <w:tcW w:w="3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Ended December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528"/>
              <w:spacing w:after="0"/>
              <w:rPr>
                <w:sz w:val="20"/>
                <w:szCs w:val="20"/>
                <w:color w:val="auto"/>
              </w:rPr>
            </w:pPr>
            <w:r>
              <w:rPr>
                <w:rFonts w:ascii="Arial" w:cs="Arial" w:eastAsia="Arial" w:hAnsi="Arial"/>
                <w:sz w:val="14"/>
                <w:szCs w:val="14"/>
                <w:b w:val="1"/>
                <w:bCs w:val="1"/>
                <w:color w:val="auto"/>
              </w:rPr>
              <w:t>31,</w:t>
            </w:r>
          </w:p>
        </w:tc>
        <w:tc>
          <w:tcPr>
            <w:tcW w:w="340" w:type="dxa"/>
            <w:vAlign w:val="bottom"/>
            <w:tcBorders>
              <w:right w:val="single" w:sz="8" w:color="auto"/>
            </w:tcBorders>
          </w:tcPr>
          <w:p>
            <w:pPr>
              <w:spacing w:after="0"/>
              <w:rPr>
                <w:sz w:val="15"/>
                <w:szCs w:val="15"/>
                <w:color w:val="auto"/>
              </w:rPr>
            </w:pPr>
          </w:p>
        </w:tc>
        <w:tc>
          <w:tcPr>
            <w:tcW w:w="1760" w:type="dxa"/>
            <w:vAlign w:val="bottom"/>
            <w:gridSpan w:val="4"/>
          </w:tcPr>
          <w:p>
            <w:pPr>
              <w:ind w:left="220"/>
              <w:spacing w:after="0"/>
              <w:rPr>
                <w:sz w:val="20"/>
                <w:szCs w:val="20"/>
                <w:color w:val="auto"/>
              </w:rPr>
            </w:pPr>
            <w:r>
              <w:rPr>
                <w:rFonts w:ascii="Arial" w:cs="Arial" w:eastAsia="Arial" w:hAnsi="Arial"/>
                <w:sz w:val="14"/>
                <w:szCs w:val="14"/>
                <w:b w:val="1"/>
                <w:bCs w:val="1"/>
                <w:color w:val="auto"/>
              </w:rPr>
              <w:t>Ended 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5"/>
                <w:szCs w:val="15"/>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26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68"/>
              <w:spacing w:after="0" w:line="157"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center"/>
              <w:ind w:right="69"/>
              <w:spacing w:after="0" w:line="157"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760" w:type="dxa"/>
            <w:vAlign w:val="bottom"/>
            <w:gridSpan w:val="4"/>
          </w:tcPr>
          <w:p>
            <w:pPr>
              <w:ind w:left="22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43,916</w:t>
            </w:r>
          </w:p>
        </w:tc>
        <w:tc>
          <w:tcPr>
            <w:tcW w:w="340" w:type="dxa"/>
            <w:vAlign w:val="bottom"/>
            <w:tcBorders>
              <w:right w:val="single" w:sz="8" w:color="auto"/>
            </w:tcBorders>
            <w:shd w:val="clear" w:color="auto" w:fill="CFF0FC"/>
          </w:tcPr>
          <w:p>
            <w:pPr>
              <w:spacing w:after="0"/>
              <w:rPr>
                <w:sz w:val="14"/>
                <w:szCs w:val="14"/>
                <w:color w:val="auto"/>
              </w:rPr>
            </w:pP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49,230</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(5,314)</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Warehouse credit facility</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5,163</w:t>
            </w: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(1,405)</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Securitization debt</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7,764</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(360)</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Pr>
          <w:p>
            <w:pPr>
              <w:spacing w:after="0" w:line="157" w:lineRule="exact"/>
              <w:rPr>
                <w:sz w:val="20"/>
                <w:szCs w:val="20"/>
                <w:color w:val="auto"/>
              </w:rPr>
            </w:pPr>
            <w:r>
              <w:rPr>
                <w:rFonts w:ascii="Arial" w:cs="Arial" w:eastAsia="Arial" w:hAnsi="Arial"/>
                <w:sz w:val="14"/>
                <w:szCs w:val="14"/>
                <w:color w:val="auto"/>
              </w:rPr>
              <w:t>Total interest expense</w:t>
            </w:r>
          </w:p>
        </w:tc>
        <w:tc>
          <w:tcPr>
            <w:tcW w:w="100" w:type="dxa"/>
            <w:vAlign w:val="bottom"/>
          </w:tcPr>
          <w:p>
            <w:pPr>
              <w:spacing w:after="0"/>
              <w:rPr>
                <w:sz w:val="13"/>
                <w:szCs w:val="13"/>
                <w:color w:val="auto"/>
              </w:rPr>
            </w:pPr>
          </w:p>
        </w:tc>
        <w:tc>
          <w:tcPr>
            <w:tcW w:w="1300" w:type="dxa"/>
            <w:vAlign w:val="bottom"/>
          </w:tcPr>
          <w:p>
            <w:pPr>
              <w:jc w:val="right"/>
              <w:spacing w:after="0" w:line="157" w:lineRule="exact"/>
              <w:rPr>
                <w:sz w:val="20"/>
                <w:szCs w:val="20"/>
                <w:color w:val="auto"/>
              </w:rPr>
            </w:pPr>
            <w:r>
              <w:rPr>
                <w:rFonts w:ascii="Arial" w:cs="Arial" w:eastAsia="Arial" w:hAnsi="Arial"/>
                <w:sz w:val="14"/>
                <w:szCs w:val="14"/>
                <w:color w:val="auto"/>
              </w:rPr>
              <w:t>12,927</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14,692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(1,765)</w:t>
            </w:r>
          </w:p>
        </w:tc>
        <w:tc>
          <w:tcPr>
            <w:tcW w:w="14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30,989</w:t>
            </w:r>
          </w:p>
        </w:tc>
        <w:tc>
          <w:tcPr>
            <w:tcW w:w="34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34,538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line="157" w:lineRule="exact"/>
              <w:rPr>
                <w:sz w:val="20"/>
                <w:szCs w:val="20"/>
                <w:color w:val="auto"/>
              </w:rPr>
            </w:pPr>
            <w:r>
              <w:rPr>
                <w:rFonts w:ascii="Arial" w:cs="Arial" w:eastAsia="Arial" w:hAnsi="Arial"/>
                <w:sz w:val="14"/>
                <w:szCs w:val="14"/>
                <w:color w:val="auto"/>
              </w:rPr>
              <w:t>(3,549)</w:t>
            </w:r>
          </w:p>
        </w:tc>
        <w:tc>
          <w:tcPr>
            <w:tcW w:w="1420" w:type="dxa"/>
            <w:vAlign w:val="bottom"/>
            <w:gridSpan w:val="2"/>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(10.3)%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Realized and unrealized losses, net of recoveries</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23,418</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21,169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2,249</w:t>
            </w:r>
          </w:p>
        </w:tc>
        <w:tc>
          <w:tcPr>
            <w:tcW w:w="2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Pr>
          <w:p>
            <w:pPr>
              <w:spacing w:after="0" w:line="157" w:lineRule="exact"/>
              <w:rPr>
                <w:sz w:val="20"/>
                <w:szCs w:val="20"/>
                <w:color w:val="auto"/>
              </w:rPr>
            </w:pPr>
            <w:r>
              <w:rPr>
                <w:rFonts w:ascii="Arial" w:cs="Arial" w:eastAsia="Arial" w:hAnsi="Arial"/>
                <w:sz w:val="14"/>
                <w:szCs w:val="14"/>
                <w:color w:val="auto"/>
              </w:rPr>
              <w:t>Net interest income after losses and recoveries</w:t>
            </w:r>
          </w:p>
        </w:tc>
        <w:tc>
          <w:tcPr>
            <w:tcW w:w="100" w:type="dxa"/>
            <w:vAlign w:val="bottom"/>
          </w:tcPr>
          <w:p>
            <w:pPr>
              <w:spacing w:after="0"/>
              <w:rPr>
                <w:sz w:val="13"/>
                <w:szCs w:val="13"/>
                <w:color w:val="auto"/>
              </w:rPr>
            </w:pPr>
          </w:p>
        </w:tc>
        <w:tc>
          <w:tcPr>
            <w:tcW w:w="1300" w:type="dxa"/>
            <w:vAlign w:val="bottom"/>
          </w:tcPr>
          <w:p>
            <w:pPr>
              <w:jc w:val="right"/>
              <w:spacing w:after="0" w:line="157" w:lineRule="exact"/>
              <w:rPr>
                <w:sz w:val="20"/>
                <w:szCs w:val="20"/>
                <w:color w:val="auto"/>
              </w:rPr>
            </w:pPr>
            <w:r>
              <w:rPr>
                <w:rFonts w:ascii="Arial" w:cs="Arial" w:eastAsia="Arial" w:hAnsi="Arial"/>
                <w:sz w:val="14"/>
                <w:szCs w:val="14"/>
                <w:color w:val="auto"/>
              </w:rPr>
              <w:t>7,571</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13,369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(5,798)</w:t>
            </w:r>
          </w:p>
        </w:tc>
        <w:tc>
          <w:tcPr>
            <w:tcW w:w="14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34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Noninterest income:</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Servicing income</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(311)</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Warranties and GAP income, net</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2,971</w:t>
            </w: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506</w:t>
            </w:r>
          </w:p>
        </w:tc>
        <w:tc>
          <w:tcPr>
            <w:tcW w:w="22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20.5%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Other income</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1,770</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(298)</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Pr>
          <w:p>
            <w:pPr>
              <w:spacing w:after="0" w:line="157" w:lineRule="exact"/>
              <w:rPr>
                <w:sz w:val="20"/>
                <w:szCs w:val="20"/>
                <w:color w:val="auto"/>
              </w:rPr>
            </w:pPr>
            <w:r>
              <w:rPr>
                <w:rFonts w:ascii="Arial" w:cs="Arial" w:eastAsia="Arial" w:hAnsi="Arial"/>
                <w:sz w:val="14"/>
                <w:szCs w:val="14"/>
                <w:color w:val="auto"/>
              </w:rPr>
              <w:t>Total noninterest income</w:t>
            </w:r>
          </w:p>
        </w:tc>
        <w:tc>
          <w:tcPr>
            <w:tcW w:w="100" w:type="dxa"/>
            <w:vAlign w:val="bottom"/>
          </w:tcPr>
          <w:p>
            <w:pPr>
              <w:spacing w:after="0"/>
              <w:rPr>
                <w:sz w:val="13"/>
                <w:szCs w:val="13"/>
                <w:color w:val="auto"/>
              </w:rPr>
            </w:pPr>
          </w:p>
        </w:tc>
        <w:tc>
          <w:tcPr>
            <w:tcW w:w="1300" w:type="dxa"/>
            <w:vAlign w:val="bottom"/>
          </w:tcPr>
          <w:p>
            <w:pPr>
              <w:jc w:val="right"/>
              <w:spacing w:after="0" w:line="157" w:lineRule="exact"/>
              <w:rPr>
                <w:sz w:val="20"/>
                <w:szCs w:val="20"/>
                <w:color w:val="auto"/>
              </w:rPr>
            </w:pPr>
            <w:r>
              <w:rPr>
                <w:rFonts w:ascii="Arial" w:cs="Arial" w:eastAsia="Arial" w:hAnsi="Arial"/>
                <w:sz w:val="14"/>
                <w:szCs w:val="14"/>
                <w:color w:val="auto"/>
              </w:rPr>
              <w:t>5,830</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5,933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(103)</w:t>
            </w:r>
          </w:p>
        </w:tc>
        <w:tc>
          <w:tcPr>
            <w:tcW w:w="14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34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Compensation and benefits</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14,485</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17,230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(2,745)</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Professional fees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1,832</w:t>
            </w: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652</w:t>
            </w:r>
          </w:p>
        </w:tc>
        <w:tc>
          <w:tcPr>
            <w:tcW w:w="22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55.3%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Software and IT costs</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2,683</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w:t>
            </w:r>
          </w:p>
        </w:tc>
        <w:tc>
          <w:tcPr>
            <w:tcW w:w="2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928</w:t>
            </w: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(4,599)</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(83.2)%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Interest expense on corporate debt</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14"/>
                <w:szCs w:val="14"/>
                <w:color w:val="auto"/>
              </w:rPr>
            </w:pPr>
          </w:p>
        </w:tc>
        <w:tc>
          <w:tcPr>
            <w:tcW w:w="16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Other expenses</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1,766</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(121)</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13"/>
                <w:szCs w:val="13"/>
                <w:color w:val="auto"/>
              </w:rPr>
            </w:pPr>
          </w:p>
        </w:tc>
        <w:tc>
          <w:tcPr>
            <w:tcW w:w="1300" w:type="dxa"/>
            <w:vAlign w:val="bottom"/>
          </w:tcPr>
          <w:p>
            <w:pPr>
              <w:jc w:val="right"/>
              <w:spacing w:after="0" w:line="157" w:lineRule="exact"/>
              <w:rPr>
                <w:sz w:val="20"/>
                <w:szCs w:val="20"/>
                <w:color w:val="auto"/>
              </w:rPr>
            </w:pPr>
            <w:r>
              <w:rPr>
                <w:rFonts w:ascii="Arial" w:cs="Arial" w:eastAsia="Arial" w:hAnsi="Arial"/>
                <w:sz w:val="14"/>
                <w:szCs w:val="14"/>
                <w:color w:val="auto"/>
              </w:rPr>
              <w:t>22,295</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28,788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(6,493)</w:t>
            </w:r>
          </w:p>
        </w:tc>
        <w:tc>
          <w:tcPr>
            <w:tcW w:w="14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(22.6)%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spacing w:after="0"/>
              <w:rPr>
                <w:sz w:val="13"/>
                <w:szCs w:val="13"/>
                <w:color w:val="auto"/>
              </w:rPr>
            </w:pPr>
          </w:p>
        </w:tc>
        <w:tc>
          <w:tcPr>
            <w:tcW w:w="340" w:type="dxa"/>
            <w:vAlign w:val="bottom"/>
            <w:tcBorders>
              <w:bottom w:val="single" w:sz="8" w:color="CFF0FC"/>
              <w:right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Pr>
          <w:p>
            <w:pPr>
              <w:spacing w:after="0" w:line="157" w:lineRule="exact"/>
              <w:rPr>
                <w:sz w:val="20"/>
                <w:szCs w:val="20"/>
                <w:color w:val="auto"/>
              </w:rPr>
            </w:pPr>
            <w:r>
              <w:rPr>
                <w:rFonts w:ascii="Arial" w:cs="Arial" w:eastAsia="Arial" w:hAnsi="Arial"/>
                <w:sz w:val="14"/>
                <w:szCs w:val="14"/>
                <w:color w:val="auto"/>
              </w:rPr>
              <w:t>Benefit for income taxes from continuing operations</w:t>
            </w:r>
          </w:p>
        </w:tc>
        <w:tc>
          <w:tcPr>
            <w:tcW w:w="100" w:type="dxa"/>
            <w:vAlign w:val="bottom"/>
          </w:tcPr>
          <w:p>
            <w:pPr>
              <w:spacing w:after="0"/>
              <w:rPr>
                <w:sz w:val="13"/>
                <w:szCs w:val="13"/>
                <w:color w:val="auto"/>
              </w:rPr>
            </w:pPr>
          </w:p>
        </w:tc>
        <w:tc>
          <w:tcPr>
            <w:tcW w:w="1640" w:type="dxa"/>
            <w:vAlign w:val="bottom"/>
            <w:tcBorders>
              <w:right w:val="single" w:sz="8" w:color="auto"/>
            </w:tcBorders>
            <w:gridSpan w:val="2"/>
          </w:tcPr>
          <w:p>
            <w:pPr>
              <w:jc w:val="right"/>
              <w:ind w:right="34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431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(431)</w:t>
            </w:r>
          </w:p>
        </w:tc>
        <w:tc>
          <w:tcPr>
            <w:tcW w:w="14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spacing w:after="0"/>
              <w:rPr>
                <w:sz w:val="13"/>
                <w:szCs w:val="13"/>
                <w:color w:val="auto"/>
              </w:rPr>
            </w:pPr>
          </w:p>
        </w:tc>
        <w:tc>
          <w:tcPr>
            <w:tcW w:w="340" w:type="dxa"/>
            <w:vAlign w:val="bottom"/>
            <w:tcBorders>
              <w:bottom w:val="single" w:sz="8" w:color="CFF0FC"/>
              <w:right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tcPr>
          <w:p>
            <w:pPr>
              <w:spacing w:after="0" w:line="157" w:lineRule="exact"/>
              <w:rPr>
                <w:sz w:val="20"/>
                <w:szCs w:val="20"/>
                <w:color w:val="auto"/>
              </w:rPr>
            </w:pPr>
            <w:r>
              <w:rPr>
                <w:rFonts w:ascii="Arial" w:cs="Arial" w:eastAsia="Arial" w:hAnsi="Arial"/>
                <w:sz w:val="14"/>
                <w:szCs w:val="14"/>
                <w:color w:val="auto"/>
              </w:rPr>
              <w:t>Adjusted net loss</w:t>
            </w:r>
          </w:p>
        </w:tc>
        <w:tc>
          <w:tcPr>
            <w:tcW w:w="1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gridSpan w:val="2"/>
          </w:tcPr>
          <w:p>
            <w:pPr>
              <w:jc w:val="right"/>
              <w:ind w:right="300"/>
              <w:spacing w:after="0" w:line="157" w:lineRule="exact"/>
              <w:rPr>
                <w:sz w:val="20"/>
                <w:szCs w:val="20"/>
                <w:color w:val="auto"/>
              </w:rPr>
            </w:pPr>
            <w:r>
              <w:rPr>
                <w:rFonts w:ascii="Arial" w:cs="Arial" w:eastAsia="Arial" w:hAnsi="Arial"/>
                <w:sz w:val="14"/>
                <w:szCs w:val="14"/>
                <w:color w:val="auto"/>
              </w:rPr>
              <w:t>(7,818)</w:t>
            </w:r>
          </w:p>
        </w:tc>
        <w:tc>
          <w:tcPr>
            <w:tcW w:w="36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(8,795)</w:t>
            </w:r>
          </w:p>
        </w:tc>
        <w:tc>
          <w:tcPr>
            <w:tcW w:w="2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977</w:t>
            </w:r>
          </w:p>
        </w:tc>
        <w:tc>
          <w:tcPr>
            <w:tcW w:w="220" w:type="dxa"/>
            <w:vAlign w:val="bottom"/>
          </w:tcPr>
          <w:p>
            <w:pPr>
              <w:spacing w:after="0"/>
              <w:rPr>
                <w:sz w:val="13"/>
                <w:szCs w:val="13"/>
                <w:color w:val="auto"/>
              </w:rPr>
            </w:pPr>
          </w:p>
        </w:tc>
        <w:tc>
          <w:tcPr>
            <w:tcW w:w="14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8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34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1,076</w:t>
            </w:r>
          </w:p>
        </w:tc>
        <w:tc>
          <w:tcPr>
            <w:tcW w:w="340" w:type="dxa"/>
            <w:vAlign w:val="bottom"/>
            <w:tcBorders>
              <w:right w:val="single" w:sz="8" w:color="auto"/>
            </w:tcBorders>
          </w:tcPr>
          <w:p>
            <w:pPr>
              <w:spacing w:after="0"/>
              <w:rPr>
                <w:sz w:val="14"/>
                <w:szCs w:val="14"/>
                <w:color w:val="auto"/>
              </w:rPr>
            </w:pP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835</w:t>
            </w:r>
          </w:p>
        </w:tc>
        <w:tc>
          <w:tcPr>
            <w:tcW w:w="1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241</w:t>
            </w:r>
          </w:p>
        </w:tc>
        <w:tc>
          <w:tcPr>
            <w:tcW w:w="22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28.9%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4"/>
                <w:szCs w:val="14"/>
                <w:color w:val="auto"/>
              </w:rPr>
              <w:t>Severance</w:t>
            </w:r>
          </w:p>
        </w:tc>
        <w:tc>
          <w:tcPr>
            <w:tcW w:w="10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w w:val="89"/>
              </w:rPr>
              <w:t>$</w:t>
            </w:r>
          </w:p>
        </w:tc>
        <w:tc>
          <w:tcPr>
            <w:tcW w:w="1640" w:type="dxa"/>
            <w:vAlign w:val="bottom"/>
            <w:tcBorders>
              <w:right w:val="single" w:sz="8" w:color="auto"/>
            </w:tcBorders>
            <w:gridSpan w:val="2"/>
            <w:shd w:val="clear" w:color="auto" w:fill="CFF0FC"/>
          </w:tcPr>
          <w:p>
            <w:pPr>
              <w:jc w:val="right"/>
              <w:ind w:right="340"/>
              <w:spacing w:after="0" w:line="178"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(287)</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528"/>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-3709035</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-3709035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-3709035</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-3709035</wp:posOffset>
            </wp:positionV>
            <wp:extent cx="12001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-3273425</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-3273425</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-3273425</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-3273425</wp:posOffset>
            </wp:positionV>
            <wp:extent cx="12001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-2627630</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-2627630</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-2627630</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-2627630</wp:posOffset>
            </wp:positionV>
            <wp:extent cx="12001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-1561465</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-1561465</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-1561465</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-1561465</wp:posOffset>
            </wp:positionV>
            <wp:extent cx="12001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-1336040</wp:posOffset>
            </wp:positionV>
            <wp:extent cx="673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-1336040</wp:posOffset>
            </wp:positionV>
            <wp:extent cx="673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-1336040</wp:posOffset>
            </wp:positionV>
            <wp:extent cx="67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-1336040</wp:posOffset>
            </wp:positionV>
            <wp:extent cx="12001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-1110615</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-1110615</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-1110615</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-1110615</wp:posOffset>
            </wp:positionV>
            <wp:extent cx="12001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762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32"/>
              <w:spacing w:after="0"/>
              <w:rPr>
                <w:sz w:val="20"/>
                <w:szCs w:val="20"/>
                <w:color w:val="auto"/>
              </w:rPr>
            </w:pPr>
            <w:r>
              <w:rPr>
                <w:rFonts w:ascii="Arial" w:cs="Arial" w:eastAsia="Arial" w:hAnsi="Arial"/>
                <w:sz w:val="12"/>
                <w:szCs w:val="12"/>
                <w:b w:val="1"/>
                <w:bCs w:val="1"/>
                <w:color w:val="auto"/>
                <w:w w:val="98"/>
              </w:rPr>
              <w:t>Successor</w:t>
            </w:r>
          </w:p>
        </w:tc>
        <w:tc>
          <w:tcPr>
            <w:tcW w:w="320" w:type="dxa"/>
            <w:vAlign w:val="bottom"/>
            <w:tcBorders>
              <w:right w:val="single" w:sz="8" w:color="auto"/>
            </w:tcBorders>
            <w:vMerge w:val="restart"/>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91"/>
              <w:spacing w:after="0"/>
              <w:rPr>
                <w:sz w:val="20"/>
                <w:szCs w:val="20"/>
                <w:color w:val="auto"/>
              </w:rPr>
            </w:pPr>
            <w:r>
              <w:rPr>
                <w:rFonts w:ascii="Arial" w:cs="Arial" w:eastAsia="Arial" w:hAnsi="Arial"/>
                <w:sz w:val="12"/>
                <w:szCs w:val="12"/>
                <w:b w:val="1"/>
                <w:bCs w:val="1"/>
                <w:color w:val="auto"/>
                <w:w w:val="99"/>
              </w:rPr>
              <w:t>Predecessor</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Non-GAAP</w:t>
            </w: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Predecessor</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w w:val="96"/>
              </w:rPr>
              <w:t>Non-GAAP</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6"/>
              </w:rPr>
              <w:t>Non-GAAP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Borders>
              <w:right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1"/>
              <w:spacing w:after="0"/>
              <w:rPr>
                <w:sz w:val="20"/>
                <w:szCs w:val="20"/>
                <w:color w:val="auto"/>
              </w:rPr>
            </w:pPr>
            <w:r>
              <w:rPr>
                <w:rFonts w:ascii="Arial" w:cs="Arial" w:eastAsia="Arial" w:hAnsi="Arial"/>
                <w:sz w:val="12"/>
                <w:szCs w:val="12"/>
                <w:b w:val="1"/>
                <w:bCs w:val="1"/>
                <w:color w:val="auto"/>
                <w:w w:val="95"/>
              </w:rPr>
              <w:t>Combined</w:t>
            </w:r>
          </w:p>
        </w:tc>
        <w:tc>
          <w:tcPr>
            <w:tcW w:w="1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52"/>
              <w:spacing w:after="0" w:line="110" w:lineRule="exact"/>
              <w:rPr>
                <w:sz w:val="20"/>
                <w:szCs w:val="20"/>
                <w:color w:val="auto"/>
              </w:rPr>
            </w:pPr>
            <w:r>
              <w:rPr>
                <w:rFonts w:ascii="Arial" w:cs="Arial" w:eastAsia="Arial" w:hAnsi="Arial"/>
                <w:sz w:val="12"/>
                <w:szCs w:val="12"/>
                <w:b w:val="1"/>
                <w:bCs w:val="1"/>
                <w:color w:val="auto"/>
                <w:w w:val="97"/>
              </w:rPr>
              <w:t>Period from</w:t>
            </w:r>
          </w:p>
        </w:tc>
        <w:tc>
          <w:tcPr>
            <w:tcW w:w="32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vMerge w:val="restart"/>
          </w:tcPr>
          <w:p>
            <w:pPr>
              <w:jc w:val="center"/>
              <w:ind w:right="111"/>
              <w:spacing w:after="0"/>
              <w:rPr>
                <w:sz w:val="20"/>
                <w:szCs w:val="20"/>
                <w:color w:val="auto"/>
              </w:rPr>
            </w:pPr>
            <w:r>
              <w:rPr>
                <w:rFonts w:ascii="Arial" w:cs="Arial" w:eastAsia="Arial" w:hAnsi="Arial"/>
                <w:sz w:val="12"/>
                <w:szCs w:val="12"/>
                <w:b w:val="1"/>
                <w:bCs w:val="1"/>
                <w:color w:val="auto"/>
                <w:w w:val="97"/>
              </w:rPr>
              <w:t>Period from</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440"/>
              <w:spacing w:after="0" w:line="130" w:lineRule="exact"/>
              <w:rPr>
                <w:sz w:val="20"/>
                <w:szCs w:val="20"/>
                <w:color w:val="auto"/>
              </w:rPr>
            </w:pPr>
            <w:r>
              <w:rPr>
                <w:rFonts w:ascii="Arial" w:cs="Arial" w:eastAsia="Arial" w:hAnsi="Arial"/>
                <w:sz w:val="12"/>
                <w:szCs w:val="12"/>
                <w:b w:val="1"/>
                <w:bCs w:val="1"/>
                <w:color w:val="auto"/>
                <w:w w:val="98"/>
              </w:rPr>
              <w:t>January 15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6"/>
              </w:rPr>
              <w:t>Year Ended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9"/>
              </w:rPr>
              <w:t>Year Ended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460"/>
              <w:spacing w:after="0" w:line="130" w:lineRule="exact"/>
              <w:rPr>
                <w:sz w:val="20"/>
                <w:szCs w:val="20"/>
                <w:color w:val="auto"/>
              </w:rPr>
            </w:pPr>
            <w:r>
              <w:rPr>
                <w:rFonts w:ascii="Arial" w:cs="Arial" w:eastAsia="Arial" w:hAnsi="Arial"/>
                <w:sz w:val="12"/>
                <w:szCs w:val="12"/>
                <w:b w:val="1"/>
                <w:bCs w:val="1"/>
                <w:color w:val="auto"/>
                <w:w w:val="96"/>
              </w:rPr>
              <w:t>through</w:t>
            </w:r>
          </w:p>
        </w:tc>
        <w:tc>
          <w:tcPr>
            <w:tcW w:w="22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January 1 through</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2"/>
                <w:szCs w:val="12"/>
                <w:b w:val="1"/>
                <w:bCs w:val="1"/>
                <w:color w:val="auto"/>
                <w:w w:val="97"/>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January 14,</w:t>
            </w:r>
          </w:p>
        </w:tc>
        <w:tc>
          <w:tcPr>
            <w:tcW w:w="100" w:type="dxa"/>
            <w:vAlign w:val="bottom"/>
          </w:tcPr>
          <w:p>
            <w:pPr>
              <w:spacing w:after="0"/>
              <w:rPr>
                <w:sz w:val="12"/>
                <w:szCs w:val="12"/>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7"/>
              </w:rPr>
              <w:t>December 31,</w:t>
            </w:r>
          </w:p>
        </w:tc>
        <w:tc>
          <w:tcPr>
            <w:tcW w:w="80" w:type="dxa"/>
            <w:vAlign w:val="bottom"/>
          </w:tcPr>
          <w:p>
            <w:pPr>
              <w:spacing w:after="0"/>
              <w:rPr>
                <w:sz w:val="12"/>
                <w:szCs w:val="12"/>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9"/>
              </w:rPr>
              <w:t>December 31,</w:t>
            </w:r>
          </w:p>
        </w:tc>
        <w:tc>
          <w:tcPr>
            <w:tcW w:w="100" w:type="dxa"/>
            <w:vAlign w:val="bottom"/>
          </w:tcPr>
          <w:p>
            <w:pPr>
              <w:spacing w:after="0"/>
              <w:rPr>
                <w:sz w:val="12"/>
                <w:szCs w:val="12"/>
                <w:color w:val="auto"/>
              </w:rPr>
            </w:pPr>
          </w:p>
        </w:tc>
        <w:tc>
          <w:tcPr>
            <w:tcW w:w="740" w:type="dxa"/>
            <w:vAlign w:val="bottom"/>
            <w:vMerge w:val="restart"/>
          </w:tcPr>
          <w:p>
            <w:pPr>
              <w:jc w:val="right"/>
              <w:ind w:right="150"/>
              <w:spacing w:after="0"/>
              <w:rPr>
                <w:sz w:val="20"/>
                <w:szCs w:val="20"/>
                <w:color w:val="auto"/>
              </w:rPr>
            </w:pPr>
            <w:r>
              <w:rPr>
                <w:rFonts w:ascii="Arial" w:cs="Arial" w:eastAsia="Arial" w:hAnsi="Arial"/>
                <w:sz w:val="11"/>
                <w:szCs w:val="11"/>
                <w:b w:val="1"/>
                <w:bCs w:val="1"/>
                <w:color w:val="auto"/>
              </w:rPr>
              <w:t>Change</w:t>
            </w:r>
          </w:p>
        </w:tc>
        <w:tc>
          <w:tcPr>
            <w:tcW w:w="24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Change</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center"/>
              <w:ind w:right="32"/>
              <w:spacing w:after="0" w:line="110" w:lineRule="exact"/>
              <w:rPr>
                <w:sz w:val="20"/>
                <w:szCs w:val="20"/>
                <w:color w:val="auto"/>
              </w:rPr>
            </w:pPr>
            <w:r>
              <w:rPr>
                <w:rFonts w:ascii="Arial" w:cs="Arial" w:eastAsia="Arial" w:hAnsi="Arial"/>
                <w:sz w:val="11"/>
                <w:szCs w:val="11"/>
                <w:b w:val="1"/>
                <w:bCs w:val="1"/>
                <w:color w:val="auto"/>
                <w:w w:val="97"/>
              </w:rPr>
              <w:t>2025</w:t>
            </w:r>
          </w:p>
        </w:tc>
        <w:tc>
          <w:tcPr>
            <w:tcW w:w="32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jc w:val="center"/>
              <w:ind w:right="91"/>
              <w:spacing w:after="0" w:line="110" w:lineRule="exact"/>
              <w:rPr>
                <w:sz w:val="20"/>
                <w:szCs w:val="20"/>
                <w:color w:val="auto"/>
              </w:rPr>
            </w:pPr>
            <w:r>
              <w:rPr>
                <w:rFonts w:ascii="Arial" w:cs="Arial" w:eastAsia="Arial" w:hAnsi="Arial"/>
                <w:sz w:val="11"/>
                <w:szCs w:val="11"/>
                <w:b w:val="1"/>
                <w:bCs w:val="1"/>
                <w:color w:val="auto"/>
                <w:w w:val="97"/>
              </w:rPr>
              <w:t>2025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center"/>
              <w:ind w:right="51"/>
              <w:spacing w:after="0" w:line="110" w:lineRule="exact"/>
              <w:rPr>
                <w:sz w:val="20"/>
                <w:szCs w:val="20"/>
                <w:color w:val="auto"/>
              </w:rPr>
            </w:pPr>
            <w:r>
              <w:rPr>
                <w:rFonts w:ascii="Arial" w:cs="Arial" w:eastAsia="Arial" w:hAnsi="Arial"/>
                <w:sz w:val="11"/>
                <w:szCs w:val="11"/>
                <w:b w:val="1"/>
                <w:bCs w:val="1"/>
                <w:color w:val="auto"/>
                <w:w w:val="97"/>
              </w:rPr>
              <w:t>2025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center"/>
              <w:ind w:right="50"/>
              <w:spacing w:after="0" w:line="110" w:lineRule="exact"/>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6"/>
          </w:tcPr>
          <w:p>
            <w:pPr>
              <w:jc w:val="right"/>
              <w:ind w:right="760"/>
              <w:spacing w:after="0" w:line="157"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171,650</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7,254</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178,904</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203,962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(25,058)</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17,584</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29,276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(10,675)</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Securitization debt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32,966</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34,144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30,084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4,060</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640" w:type="dxa"/>
            <w:vAlign w:val="bottom"/>
          </w:tcPr>
          <w:p>
            <w:pPr>
              <w:spacing w:after="0" w:line="157" w:lineRule="exact"/>
              <w:rPr>
                <w:sz w:val="20"/>
                <w:szCs w:val="20"/>
                <w:color w:val="auto"/>
              </w:rPr>
            </w:pPr>
            <w:r>
              <w:rPr>
                <w:rFonts w:ascii="Arial" w:cs="Arial" w:eastAsia="Arial" w:hAnsi="Arial"/>
                <w:sz w:val="14"/>
                <w:szCs w:val="14"/>
                <w:color w:val="auto"/>
              </w:rPr>
              <w:t>Total interest expense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50,550</w:t>
            </w: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2,195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52,745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59,360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(6,615)</w:t>
            </w:r>
          </w:p>
        </w:tc>
        <w:tc>
          <w:tcPr>
            <w:tcW w:w="11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6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interest income</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121,100</w:t>
            </w:r>
          </w:p>
        </w:tc>
        <w:tc>
          <w:tcPr>
            <w:tcW w:w="32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5,059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126,159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144,602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(18,443)</w:t>
            </w:r>
          </w:p>
        </w:tc>
        <w:tc>
          <w:tcPr>
            <w:tcW w:w="1100" w:type="dxa"/>
            <w:vAlign w:val="bottom"/>
            <w:gridSpan w:val="2"/>
            <w:shd w:val="clear" w:color="auto" w:fill="CFF0FC"/>
          </w:tcPr>
          <w:p>
            <w:pPr>
              <w:jc w:val="right"/>
              <w:ind w:right="40"/>
              <w:spacing w:after="0" w:line="157"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96,874</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104,521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98,629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5,892</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640" w:type="dxa"/>
            <w:vAlign w:val="bottom"/>
          </w:tcPr>
          <w:p>
            <w:pPr>
              <w:spacing w:after="0" w:line="157" w:lineRule="exact"/>
              <w:rPr>
                <w:sz w:val="20"/>
                <w:szCs w:val="20"/>
                <w:color w:val="auto"/>
              </w:rPr>
            </w:pPr>
            <w:r>
              <w:rPr>
                <w:rFonts w:ascii="Arial" w:cs="Arial" w:eastAsia="Arial" w:hAnsi="Arial"/>
                <w:sz w:val="14"/>
                <w:szCs w:val="14"/>
                <w:color w:val="auto"/>
              </w:rPr>
              <w:t>Net interest income (loss) after losses and recoveries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24,226</w:t>
            </w: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21,638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45,973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(24,335)</w:t>
            </w:r>
          </w:p>
        </w:tc>
        <w:tc>
          <w:tcPr>
            <w:tcW w:w="11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32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Noninterest income: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Servicing income</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4,690</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(1,619)</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Warranties and GAP income, net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13,070</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7,789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5,671</w:t>
            </w:r>
          </w:p>
        </w:tc>
        <w:tc>
          <w:tcPr>
            <w:tcW w:w="24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7,866</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(402)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640" w:type="dxa"/>
            <w:vAlign w:val="bottom"/>
          </w:tcPr>
          <w:p>
            <w:pPr>
              <w:spacing w:after="0" w:line="157" w:lineRule="exact"/>
              <w:rPr>
                <w:sz w:val="20"/>
                <w:szCs w:val="20"/>
                <w:color w:val="auto"/>
              </w:rPr>
            </w:pPr>
            <w:r>
              <w:rPr>
                <w:rFonts w:ascii="Arial" w:cs="Arial" w:eastAsia="Arial" w:hAnsi="Arial"/>
                <w:sz w:val="14"/>
                <w:szCs w:val="14"/>
                <w:color w:val="auto"/>
              </w:rPr>
              <w:t>Total noninterest income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25,626</w:t>
            </w: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648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26,274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22,624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3,650</w:t>
            </w:r>
          </w:p>
        </w:tc>
        <w:tc>
          <w:tcPr>
            <w:tcW w:w="240" w:type="dxa"/>
            <w:vAlign w:val="bottom"/>
          </w:tcPr>
          <w:p>
            <w:pPr>
              <w:spacing w:after="0"/>
              <w:rPr>
                <w:sz w:val="13"/>
                <w:szCs w:val="13"/>
                <w:color w:val="auto"/>
              </w:rPr>
            </w:pPr>
          </w:p>
        </w:tc>
        <w:tc>
          <w:tcPr>
            <w:tcW w:w="11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32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Compensation and benefits</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59,694</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62,092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76,374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(14,282)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7,160</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3,826</w:t>
            </w:r>
          </w:p>
        </w:tc>
        <w:tc>
          <w:tcPr>
            <w:tcW w:w="24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Software and IT costs</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9,959</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10,326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(71)</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2,922</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22,683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(18,944)</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on corporate debt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2,443</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3,479</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5,159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(1,680)</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7,324</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(1,871)</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64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92,981</w:t>
            </w: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4,101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97,082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129,972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(32,890)</w:t>
            </w:r>
          </w:p>
        </w:tc>
        <w:tc>
          <w:tcPr>
            <w:tcW w:w="11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32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Provision for income taxes from continuing operations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(694)</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CFF0FC"/>
              <w:right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40" w:type="dxa"/>
            <w:vAlign w:val="bottom"/>
          </w:tcPr>
          <w:p>
            <w:pPr>
              <w:spacing w:after="0" w:line="157" w:lineRule="exact"/>
              <w:rPr>
                <w:sz w:val="20"/>
                <w:szCs w:val="20"/>
                <w:color w:val="auto"/>
              </w:rPr>
            </w:pPr>
            <w:r>
              <w:rPr>
                <w:rFonts w:ascii="Arial" w:cs="Arial" w:eastAsia="Arial" w:hAnsi="Arial"/>
                <w:sz w:val="14"/>
                <w:szCs w:val="14"/>
                <w:color w:val="auto"/>
              </w:rPr>
              <w:t>Adjusted net loss</w:t>
            </w:r>
          </w:p>
        </w:tc>
        <w:tc>
          <w:tcPr>
            <w:tcW w:w="3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gridSpan w:val="2"/>
          </w:tcPr>
          <w:p>
            <w:pPr>
              <w:jc w:val="right"/>
              <w:ind w:right="260"/>
              <w:spacing w:after="0" w:line="157" w:lineRule="exact"/>
              <w:rPr>
                <w:sz w:val="20"/>
                <w:szCs w:val="20"/>
                <w:color w:val="auto"/>
              </w:rPr>
            </w:pPr>
            <w:r>
              <w:rPr>
                <w:rFonts w:ascii="Arial" w:cs="Arial" w:eastAsia="Arial" w:hAnsi="Arial"/>
                <w:sz w:val="14"/>
                <w:szCs w:val="14"/>
                <w:color w:val="auto"/>
              </w:rPr>
              <w:t>(36,065)</w:t>
            </w:r>
          </w:p>
        </w:tc>
        <w:tc>
          <w:tcPr>
            <w:tcW w:w="220" w:type="dxa"/>
            <w:vAlign w:val="bottom"/>
          </w:tcPr>
          <w:p>
            <w:pPr>
              <w:spacing w:after="0"/>
              <w:rPr>
                <w:sz w:val="13"/>
                <w:szCs w:val="13"/>
                <w:color w:val="auto"/>
              </w:rPr>
            </w:pPr>
          </w:p>
        </w:tc>
        <w:tc>
          <w:tcPr>
            <w:tcW w:w="14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(5,910)</w:t>
            </w:r>
          </w:p>
        </w:tc>
        <w:tc>
          <w:tcPr>
            <w:tcW w:w="2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(41,975)</w:t>
            </w:r>
          </w:p>
        </w:tc>
        <w:tc>
          <w:tcPr>
            <w:tcW w:w="1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(53,447)</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11,472</w:t>
            </w:r>
          </w:p>
        </w:tc>
        <w:tc>
          <w:tcPr>
            <w:tcW w:w="240" w:type="dxa"/>
            <w:vAlign w:val="bottom"/>
          </w:tcPr>
          <w:p>
            <w:pPr>
              <w:spacing w:after="0"/>
              <w:rPr>
                <w:sz w:val="13"/>
                <w:szCs w:val="13"/>
                <w:color w:val="auto"/>
              </w:rPr>
            </w:pPr>
          </w:p>
        </w:tc>
        <w:tc>
          <w:tcPr>
            <w:tcW w:w="11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32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3,597</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3,723</w:t>
            </w:r>
          </w:p>
        </w:tc>
        <w:tc>
          <w:tcPr>
            <w:tcW w:w="14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2,702</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1,021</w:t>
            </w:r>
          </w:p>
        </w:tc>
        <w:tc>
          <w:tcPr>
            <w:tcW w:w="24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Severance</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(769)</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-3018155</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-3018155</wp:posOffset>
            </wp:positionV>
            <wp:extent cx="673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-3018155</wp:posOffset>
            </wp:positionV>
            <wp:extent cx="673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-3018155</wp:posOffset>
            </wp:positionV>
            <wp:extent cx="6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-3018155</wp:posOffset>
            </wp:positionV>
            <wp:extent cx="673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-3018155</wp:posOffset>
            </wp:positionV>
            <wp:extent cx="12763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-2582545</wp:posOffset>
            </wp:positionV>
            <wp:extent cx="673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-2582545</wp:posOffset>
            </wp:positionV>
            <wp:extent cx="673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-2582545</wp:posOffset>
            </wp:positionV>
            <wp:extent cx="673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-2582545</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-2582545</wp:posOffset>
            </wp:positionV>
            <wp:extent cx="673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-2582545</wp:posOffset>
            </wp:positionV>
            <wp:extent cx="12763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-1936750</wp:posOffset>
            </wp:positionV>
            <wp:extent cx="673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-1936750</wp:posOffset>
            </wp:positionV>
            <wp:extent cx="673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-1936750</wp:posOffset>
            </wp:positionV>
            <wp:extent cx="673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-1936750</wp:posOffset>
            </wp:positionV>
            <wp:extent cx="673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-1936750</wp:posOffset>
            </wp:positionV>
            <wp:extent cx="673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-1936750</wp:posOffset>
            </wp:positionV>
            <wp:extent cx="12763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-870585</wp:posOffset>
            </wp:positionV>
            <wp:extent cx="673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-870585</wp:posOffset>
            </wp:positionV>
            <wp:extent cx="6731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-870585</wp:posOffset>
            </wp:positionV>
            <wp:extent cx="673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-870585</wp:posOffset>
            </wp:positionV>
            <wp:extent cx="673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-870585</wp:posOffset>
            </wp:positionV>
            <wp:extent cx="673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-870585</wp:posOffset>
            </wp:positionV>
            <wp:extent cx="12763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-434975</wp:posOffset>
            </wp:positionV>
            <wp:extent cx="673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-434975</wp:posOffset>
            </wp:positionV>
            <wp:extent cx="673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-434975</wp:posOffset>
            </wp:positionV>
            <wp:extent cx="673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-434975</wp:posOffset>
            </wp:positionV>
            <wp:extent cx="673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-434975</wp:posOffset>
            </wp:positionV>
            <wp:extent cx="673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-434975</wp:posOffset>
            </wp:positionV>
            <wp:extent cx="12763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3"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CarStory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Successor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129"/>
              <w:spacing w:after="0" w:line="145" w:lineRule="exact"/>
              <w:rPr>
                <w:sz w:val="20"/>
                <w:szCs w:val="20"/>
                <w:color w:val="auto"/>
              </w:rPr>
            </w:pPr>
            <w:r>
              <w:rPr>
                <w:rFonts w:ascii="Arial" w:cs="Arial" w:eastAsia="Arial" w:hAnsi="Arial"/>
                <w:sz w:val="14"/>
                <w:szCs w:val="14"/>
                <w:b w:val="1"/>
                <w:bCs w:val="1"/>
                <w:color w:val="auto"/>
              </w:rPr>
              <w:t>Three Months</w:t>
            </w:r>
          </w:p>
        </w:tc>
        <w:tc>
          <w:tcPr>
            <w:tcW w:w="3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Ended December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109"/>
              <w:spacing w:after="0" w:line="157"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109"/>
              <w:spacing w:after="0" w:line="157"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09"/>
              <w:spacing w:after="0" w:line="157"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Noninterest income:</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4"/>
                <w:szCs w:val="14"/>
                <w:color w:val="auto"/>
              </w:rPr>
              <w:t>CarStory revenue</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1,329</w:t>
            </w: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2,828</w:t>
            </w:r>
          </w:p>
        </w:tc>
        <w:tc>
          <w:tcPr>
            <w:tcW w:w="22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(1,499)</w:t>
            </w: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(52)</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840" w:type="dxa"/>
            <w:vAlign w:val="bottom"/>
          </w:tcPr>
          <w:p>
            <w:pPr>
              <w:spacing w:after="0" w:line="157" w:lineRule="exact"/>
              <w:rPr>
                <w:sz w:val="20"/>
                <w:szCs w:val="20"/>
                <w:color w:val="auto"/>
              </w:rPr>
            </w:pPr>
            <w:r>
              <w:rPr>
                <w:rFonts w:ascii="Arial" w:cs="Arial" w:eastAsia="Arial" w:hAnsi="Arial"/>
                <w:sz w:val="14"/>
                <w:szCs w:val="14"/>
                <w:color w:val="auto"/>
              </w:rPr>
              <w:t>Total noninterest income</w:t>
            </w:r>
          </w:p>
        </w:tc>
        <w:tc>
          <w:tcPr>
            <w:tcW w:w="16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1,407</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2,958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(1,551)</w:t>
            </w:r>
          </w:p>
        </w:tc>
        <w:tc>
          <w:tcPr>
            <w:tcW w:w="14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8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34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1,432</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(1,059)</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tcPr>
          <w:p>
            <w:pPr>
              <w:spacing w:after="0"/>
              <w:rPr>
                <w:sz w:val="14"/>
                <w:szCs w:val="14"/>
                <w:color w:val="auto"/>
              </w:rPr>
            </w:pPr>
          </w:p>
        </w:tc>
        <w:tc>
          <w:tcPr>
            <w:tcW w:w="16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(185)</w:t>
            </w: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Software and IT costs</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107</w:t>
            </w: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1,596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(1,489)</w:t>
            </w: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3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84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1,492</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4,273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(2,781)</w:t>
            </w:r>
          </w:p>
        </w:tc>
        <w:tc>
          <w:tcPr>
            <w:tcW w:w="14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spacing w:after="0"/>
              <w:rPr>
                <w:sz w:val="13"/>
                <w:szCs w:val="13"/>
                <w:color w:val="auto"/>
              </w:rPr>
            </w:pPr>
          </w:p>
        </w:tc>
        <w:tc>
          <w:tcPr>
            <w:tcW w:w="340" w:type="dxa"/>
            <w:vAlign w:val="bottom"/>
            <w:tcBorders>
              <w:bottom w:val="single" w:sz="8" w:color="CFF0FC"/>
              <w:right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Pr>
          <w:p>
            <w:pPr>
              <w:spacing w:after="0" w:line="157" w:lineRule="exact"/>
              <w:rPr>
                <w:sz w:val="20"/>
                <w:szCs w:val="20"/>
                <w:color w:val="auto"/>
              </w:rPr>
            </w:pPr>
            <w:r>
              <w:rPr>
                <w:rFonts w:ascii="Arial" w:cs="Arial" w:eastAsia="Arial" w:hAnsi="Arial"/>
                <w:sz w:val="14"/>
                <w:szCs w:val="14"/>
                <w:color w:val="auto"/>
              </w:rPr>
              <w:t>Provision for income taxes from continuing operations</w:t>
            </w:r>
          </w:p>
        </w:tc>
        <w:tc>
          <w:tcPr>
            <w:tcW w:w="16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(21)</w:t>
            </w:r>
          </w:p>
        </w:tc>
        <w:tc>
          <w:tcPr>
            <w:tcW w:w="14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spacing w:after="0"/>
              <w:rPr>
                <w:sz w:val="13"/>
                <w:szCs w:val="13"/>
                <w:color w:val="auto"/>
              </w:rPr>
            </w:pPr>
          </w:p>
        </w:tc>
        <w:tc>
          <w:tcPr>
            <w:tcW w:w="340" w:type="dxa"/>
            <w:vAlign w:val="bottom"/>
            <w:tcBorders>
              <w:bottom w:val="single" w:sz="8" w:color="CFF0FC"/>
              <w:right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Pr>
          <w:p>
            <w:pPr>
              <w:spacing w:after="0" w:line="157" w:lineRule="exact"/>
              <w:rPr>
                <w:sz w:val="20"/>
                <w:szCs w:val="20"/>
                <w:color w:val="auto"/>
              </w:rPr>
            </w:pPr>
            <w:r>
              <w:rPr>
                <w:rFonts w:ascii="Arial" w:cs="Arial" w:eastAsia="Arial" w:hAnsi="Arial"/>
                <w:sz w:val="14"/>
                <w:szCs w:val="14"/>
                <w:color w:val="auto"/>
              </w:rPr>
              <w:t>Adjusted net income (loss)</w:t>
            </w:r>
          </w:p>
        </w:tc>
        <w:tc>
          <w:tcPr>
            <w:tcW w:w="1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gridSpan w:val="2"/>
          </w:tcPr>
          <w:p>
            <w:pPr>
              <w:jc w:val="right"/>
              <w:ind w:right="300"/>
              <w:spacing w:after="0" w:line="157"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3"/>
                <w:szCs w:val="13"/>
                <w:color w:val="auto"/>
              </w:rPr>
            </w:pPr>
          </w:p>
        </w:tc>
        <w:tc>
          <w:tcPr>
            <w:tcW w:w="1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(1,306)</w:t>
            </w:r>
          </w:p>
        </w:tc>
        <w:tc>
          <w:tcPr>
            <w:tcW w:w="180" w:type="dxa"/>
            <w:vAlign w:val="bottom"/>
          </w:tcPr>
          <w:p>
            <w:pPr>
              <w:jc w:val="right"/>
              <w:ind w:right="29"/>
              <w:spacing w:after="0" w:line="157"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1,253</w:t>
            </w:r>
          </w:p>
        </w:tc>
        <w:tc>
          <w:tcPr>
            <w:tcW w:w="220" w:type="dxa"/>
            <w:vAlign w:val="bottom"/>
          </w:tcPr>
          <w:p>
            <w:pPr>
              <w:spacing w:after="0"/>
              <w:rPr>
                <w:sz w:val="13"/>
                <w:szCs w:val="13"/>
                <w:color w:val="auto"/>
              </w:rPr>
            </w:pPr>
          </w:p>
        </w:tc>
        <w:tc>
          <w:tcPr>
            <w:tcW w:w="14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8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34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43</w:t>
            </w: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-1636395</wp:posOffset>
            </wp:positionV>
            <wp:extent cx="673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-1636395</wp:posOffset>
            </wp:positionV>
            <wp:extent cx="673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-1636395</wp:posOffset>
            </wp:positionV>
            <wp:extent cx="673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-1636395</wp:posOffset>
            </wp:positionV>
            <wp:extent cx="12001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-780415</wp:posOffset>
            </wp:positionV>
            <wp:extent cx="6731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-780415</wp:posOffset>
            </wp:positionV>
            <wp:extent cx="673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-780415</wp:posOffset>
            </wp:positionV>
            <wp:extent cx="673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-780415</wp:posOffset>
            </wp:positionV>
            <wp:extent cx="12001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-554990</wp:posOffset>
            </wp:positionV>
            <wp:extent cx="673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-554990</wp:posOffset>
            </wp:positionV>
            <wp:extent cx="673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-554990</wp:posOffset>
            </wp:positionV>
            <wp:extent cx="673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-554990</wp:posOffset>
            </wp:positionV>
            <wp:extent cx="12001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-329565</wp:posOffset>
            </wp:positionV>
            <wp:extent cx="673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-329565</wp:posOffset>
            </wp:positionV>
            <wp:extent cx="6731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-329565</wp:posOffset>
            </wp:positionV>
            <wp:extent cx="673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-329565</wp:posOffset>
            </wp:positionV>
            <wp:extent cx="12001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762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33"/>
              <w:spacing w:after="0"/>
              <w:rPr>
                <w:sz w:val="20"/>
                <w:szCs w:val="20"/>
                <w:color w:val="auto"/>
              </w:rPr>
            </w:pPr>
            <w:r>
              <w:rPr>
                <w:rFonts w:ascii="Arial" w:cs="Arial" w:eastAsia="Arial" w:hAnsi="Arial"/>
                <w:sz w:val="12"/>
                <w:szCs w:val="12"/>
                <w:b w:val="1"/>
                <w:bCs w:val="1"/>
                <w:color w:val="auto"/>
                <w:w w:val="98"/>
              </w:rPr>
              <w:t>Successor</w:t>
            </w:r>
          </w:p>
        </w:tc>
        <w:tc>
          <w:tcPr>
            <w:tcW w:w="320" w:type="dxa"/>
            <w:vAlign w:val="bottom"/>
            <w:tcBorders>
              <w:right w:val="single" w:sz="8" w:color="auto"/>
            </w:tcBorders>
            <w:vMerge w:val="restart"/>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92"/>
              <w:spacing w:after="0"/>
              <w:rPr>
                <w:sz w:val="20"/>
                <w:szCs w:val="20"/>
                <w:color w:val="auto"/>
              </w:rPr>
            </w:pPr>
            <w:r>
              <w:rPr>
                <w:rFonts w:ascii="Arial" w:cs="Arial" w:eastAsia="Arial" w:hAnsi="Arial"/>
                <w:sz w:val="12"/>
                <w:szCs w:val="12"/>
                <w:b w:val="1"/>
                <w:bCs w:val="1"/>
                <w:color w:val="auto"/>
                <w:w w:val="99"/>
              </w:rPr>
              <w:t>Predecessor</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Non-GAAP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center"/>
              <w:ind w:right="32"/>
              <w:spacing w:after="0"/>
              <w:rPr>
                <w:sz w:val="20"/>
                <w:szCs w:val="20"/>
                <w:color w:val="auto"/>
              </w:rPr>
            </w:pPr>
            <w:r>
              <w:rPr>
                <w:rFonts w:ascii="Arial" w:cs="Arial" w:eastAsia="Arial" w:hAnsi="Arial"/>
                <w:sz w:val="12"/>
                <w:szCs w:val="12"/>
                <w:b w:val="1"/>
                <w:bCs w:val="1"/>
                <w:color w:val="auto"/>
                <w:w w:val="97"/>
              </w:rPr>
              <w:t>Predecessor</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w w:val="96"/>
              </w:rPr>
              <w:t>Non-GAAP</w:t>
            </w:r>
          </w:p>
        </w:tc>
        <w:tc>
          <w:tcPr>
            <w:tcW w:w="24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Non-GAAP</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tcBorders>
              <w:right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5"/>
              </w:rPr>
              <w:t>Combined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53"/>
              <w:spacing w:after="0" w:line="110" w:lineRule="exact"/>
              <w:rPr>
                <w:sz w:val="20"/>
                <w:szCs w:val="20"/>
                <w:color w:val="auto"/>
              </w:rPr>
            </w:pPr>
            <w:r>
              <w:rPr>
                <w:rFonts w:ascii="Arial" w:cs="Arial" w:eastAsia="Arial" w:hAnsi="Arial"/>
                <w:sz w:val="12"/>
                <w:szCs w:val="12"/>
                <w:b w:val="1"/>
                <w:bCs w:val="1"/>
                <w:color w:val="auto"/>
                <w:w w:val="97"/>
              </w:rPr>
              <w:t>Period from</w:t>
            </w:r>
          </w:p>
        </w:tc>
        <w:tc>
          <w:tcPr>
            <w:tcW w:w="32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7"/>
              </w:rPr>
              <w:t>Period from</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440"/>
              <w:spacing w:after="0" w:line="130" w:lineRule="exact"/>
              <w:rPr>
                <w:sz w:val="20"/>
                <w:szCs w:val="20"/>
                <w:color w:val="auto"/>
              </w:rPr>
            </w:pPr>
            <w:r>
              <w:rPr>
                <w:rFonts w:ascii="Arial" w:cs="Arial" w:eastAsia="Arial" w:hAnsi="Arial"/>
                <w:sz w:val="12"/>
                <w:szCs w:val="12"/>
                <w:b w:val="1"/>
                <w:bCs w:val="1"/>
                <w:color w:val="auto"/>
                <w:w w:val="98"/>
              </w:rPr>
              <w:t>January 15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6"/>
              </w:rPr>
              <w:t>Year 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9"/>
              </w:rPr>
              <w:t>Year Ended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460"/>
              <w:spacing w:after="0" w:line="130" w:lineRule="exact"/>
              <w:rPr>
                <w:sz w:val="20"/>
                <w:szCs w:val="20"/>
                <w:color w:val="auto"/>
              </w:rPr>
            </w:pPr>
            <w:r>
              <w:rPr>
                <w:rFonts w:ascii="Arial" w:cs="Arial" w:eastAsia="Arial" w:hAnsi="Arial"/>
                <w:sz w:val="12"/>
                <w:szCs w:val="12"/>
                <w:b w:val="1"/>
                <w:bCs w:val="1"/>
                <w:color w:val="auto"/>
                <w:w w:val="96"/>
              </w:rPr>
              <w:t>through</w:t>
            </w:r>
          </w:p>
        </w:tc>
        <w:tc>
          <w:tcPr>
            <w:tcW w:w="22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January 1 through</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2"/>
                <w:szCs w:val="12"/>
                <w:b w:val="1"/>
                <w:bCs w:val="1"/>
                <w:color w:val="auto"/>
                <w:w w:val="97"/>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January 14,</w:t>
            </w:r>
          </w:p>
        </w:tc>
        <w:tc>
          <w:tcPr>
            <w:tcW w:w="100" w:type="dxa"/>
            <w:vAlign w:val="bottom"/>
          </w:tcPr>
          <w:p>
            <w:pPr>
              <w:spacing w:after="0"/>
              <w:rPr>
                <w:sz w:val="12"/>
                <w:szCs w:val="12"/>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7"/>
              </w:rPr>
              <w:t>December 31,</w:t>
            </w:r>
          </w:p>
        </w:tc>
        <w:tc>
          <w:tcPr>
            <w:tcW w:w="80" w:type="dxa"/>
            <w:vAlign w:val="bottom"/>
          </w:tcPr>
          <w:p>
            <w:pPr>
              <w:spacing w:after="0"/>
              <w:rPr>
                <w:sz w:val="12"/>
                <w:szCs w:val="12"/>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9"/>
              </w:rPr>
              <w:t>December 31,</w:t>
            </w:r>
          </w:p>
        </w:tc>
        <w:tc>
          <w:tcPr>
            <w:tcW w:w="100" w:type="dxa"/>
            <w:vAlign w:val="bottom"/>
          </w:tcPr>
          <w:p>
            <w:pPr>
              <w:spacing w:after="0"/>
              <w:rPr>
                <w:sz w:val="12"/>
                <w:szCs w:val="12"/>
                <w:color w:val="auto"/>
              </w:rPr>
            </w:pPr>
          </w:p>
        </w:tc>
        <w:tc>
          <w:tcPr>
            <w:tcW w:w="740" w:type="dxa"/>
            <w:vAlign w:val="bottom"/>
            <w:vMerge w:val="restart"/>
          </w:tcPr>
          <w:p>
            <w:pPr>
              <w:jc w:val="right"/>
              <w:ind w:right="151"/>
              <w:spacing w:after="0"/>
              <w:rPr>
                <w:sz w:val="20"/>
                <w:szCs w:val="20"/>
                <w:color w:val="auto"/>
              </w:rPr>
            </w:pPr>
            <w:r>
              <w:rPr>
                <w:rFonts w:ascii="Arial" w:cs="Arial" w:eastAsia="Arial" w:hAnsi="Arial"/>
                <w:sz w:val="11"/>
                <w:szCs w:val="11"/>
                <w:b w:val="1"/>
                <w:bCs w:val="1"/>
                <w:color w:val="auto"/>
              </w:rPr>
              <w:t>Change</w:t>
            </w:r>
          </w:p>
        </w:tc>
        <w:tc>
          <w:tcPr>
            <w:tcW w:w="24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Change</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center"/>
              <w:ind w:right="33"/>
              <w:spacing w:after="0" w:line="110" w:lineRule="exact"/>
              <w:rPr>
                <w:sz w:val="20"/>
                <w:szCs w:val="20"/>
                <w:color w:val="auto"/>
              </w:rPr>
            </w:pPr>
            <w:r>
              <w:rPr>
                <w:rFonts w:ascii="Arial" w:cs="Arial" w:eastAsia="Arial" w:hAnsi="Arial"/>
                <w:sz w:val="11"/>
                <w:szCs w:val="11"/>
                <w:b w:val="1"/>
                <w:bCs w:val="1"/>
                <w:color w:val="auto"/>
                <w:w w:val="97"/>
              </w:rPr>
              <w:t>2025</w:t>
            </w:r>
          </w:p>
        </w:tc>
        <w:tc>
          <w:tcPr>
            <w:tcW w:w="32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jc w:val="center"/>
              <w:ind w:right="92"/>
              <w:spacing w:after="0" w:line="110" w:lineRule="exact"/>
              <w:rPr>
                <w:sz w:val="20"/>
                <w:szCs w:val="20"/>
                <w:color w:val="auto"/>
              </w:rPr>
            </w:pPr>
            <w:r>
              <w:rPr>
                <w:rFonts w:ascii="Arial" w:cs="Arial" w:eastAsia="Arial" w:hAnsi="Arial"/>
                <w:sz w:val="11"/>
                <w:szCs w:val="11"/>
                <w:b w:val="1"/>
                <w:bCs w:val="1"/>
                <w:color w:val="auto"/>
                <w:w w:val="97"/>
              </w:rPr>
              <w:t>2025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center"/>
              <w:ind w:right="52"/>
              <w:spacing w:after="0" w:line="110" w:lineRule="exact"/>
              <w:rPr>
                <w:sz w:val="20"/>
                <w:szCs w:val="20"/>
                <w:color w:val="auto"/>
              </w:rPr>
            </w:pPr>
            <w:r>
              <w:rPr>
                <w:rFonts w:ascii="Arial" w:cs="Arial" w:eastAsia="Arial" w:hAnsi="Arial"/>
                <w:sz w:val="11"/>
                <w:szCs w:val="11"/>
                <w:b w:val="1"/>
                <w:bCs w:val="1"/>
                <w:color w:val="auto"/>
                <w:w w:val="97"/>
              </w:rPr>
              <w:t>2025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center"/>
              <w:ind w:right="32"/>
              <w:spacing w:after="0" w:line="110" w:lineRule="exact"/>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6"/>
          </w:tcPr>
          <w:p>
            <w:pPr>
              <w:jc w:val="right"/>
              <w:ind w:right="760"/>
              <w:spacing w:after="0" w:line="157"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Noninterest income:</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CarStory revenue</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6,914</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7,346</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11,610</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(4,264)</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(469)</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640" w:type="dxa"/>
            <w:vAlign w:val="bottom"/>
          </w:tcPr>
          <w:p>
            <w:pPr>
              <w:spacing w:after="0" w:line="157" w:lineRule="exact"/>
              <w:rPr>
                <w:sz w:val="20"/>
                <w:szCs w:val="20"/>
                <w:color w:val="auto"/>
              </w:rPr>
            </w:pPr>
            <w:r>
              <w:rPr>
                <w:rFonts w:ascii="Arial" w:cs="Arial" w:eastAsia="Arial" w:hAnsi="Arial"/>
                <w:sz w:val="14"/>
                <w:szCs w:val="14"/>
                <w:color w:val="auto"/>
              </w:rPr>
              <w:t>Total noninterest income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7,124</w:t>
            </w: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445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7,569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12,302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(4,733)</w:t>
            </w:r>
          </w:p>
        </w:tc>
        <w:tc>
          <w:tcPr>
            <w:tcW w:w="11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32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Compensation and benefits</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5,751</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(4,216)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(298)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(437)</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Software and IT costs</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428</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6,403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(5,735)</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w:t>
            </w:r>
          </w:p>
        </w:tc>
        <w:tc>
          <w:tcPr>
            <w:tcW w:w="32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64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6,330</w:t>
            </w: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601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6,931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17,477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(10,546)</w:t>
            </w:r>
          </w:p>
        </w:tc>
        <w:tc>
          <w:tcPr>
            <w:tcW w:w="11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320" w:type="dxa"/>
            <w:vAlign w:val="bottom"/>
            <w:tcBorders>
              <w:bottom w:val="single" w:sz="8" w:color="CFF0FC"/>
              <w:right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40" w:type="dxa"/>
            <w:vAlign w:val="bottom"/>
          </w:tcPr>
          <w:p>
            <w:pPr>
              <w:spacing w:after="0" w:line="157" w:lineRule="exact"/>
              <w:rPr>
                <w:sz w:val="20"/>
                <w:szCs w:val="20"/>
                <w:color w:val="auto"/>
              </w:rPr>
            </w:pPr>
            <w:r>
              <w:rPr>
                <w:rFonts w:ascii="Arial" w:cs="Arial" w:eastAsia="Arial" w:hAnsi="Arial"/>
                <w:sz w:val="14"/>
                <w:szCs w:val="14"/>
                <w:color w:val="auto"/>
              </w:rPr>
              <w:t>Provision for income taxes from continuing operations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84</w:t>
            </w: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(34)</w:t>
            </w:r>
          </w:p>
        </w:tc>
        <w:tc>
          <w:tcPr>
            <w:tcW w:w="11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320" w:type="dxa"/>
            <w:vAlign w:val="bottom"/>
            <w:tcBorders>
              <w:bottom w:val="single" w:sz="8" w:color="CFF0FC"/>
              <w:right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40" w:type="dxa"/>
            <w:vAlign w:val="bottom"/>
          </w:tcPr>
          <w:p>
            <w:pPr>
              <w:spacing w:after="0" w:line="157" w:lineRule="exact"/>
              <w:rPr>
                <w:sz w:val="20"/>
                <w:szCs w:val="20"/>
                <w:color w:val="auto"/>
              </w:rPr>
            </w:pPr>
            <w:r>
              <w:rPr>
                <w:rFonts w:ascii="Arial" w:cs="Arial" w:eastAsia="Arial" w:hAnsi="Arial"/>
                <w:sz w:val="14"/>
                <w:szCs w:val="14"/>
                <w:color w:val="auto"/>
              </w:rPr>
              <w:t>Adjusted net income (loss)</w:t>
            </w:r>
          </w:p>
        </w:tc>
        <w:tc>
          <w:tcPr>
            <w:tcW w:w="3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837</w:t>
            </w: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(153)</w:t>
            </w:r>
          </w:p>
        </w:tc>
        <w:tc>
          <w:tcPr>
            <w:tcW w:w="2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684</w:t>
            </w:r>
          </w:p>
        </w:tc>
        <w:tc>
          <w:tcPr>
            <w:tcW w:w="140" w:type="dxa"/>
            <w:vAlign w:val="bottom"/>
          </w:tcPr>
          <w:p>
            <w:pPr>
              <w:spacing w:after="0"/>
              <w:rPr>
                <w:sz w:val="13"/>
                <w:szCs w:val="13"/>
                <w:color w:val="auto"/>
              </w:rPr>
            </w:pPr>
          </w:p>
        </w:tc>
        <w:tc>
          <w:tcPr>
            <w:tcW w:w="1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(4,923)</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5,607</w:t>
            </w:r>
          </w:p>
        </w:tc>
        <w:tc>
          <w:tcPr>
            <w:tcW w:w="240" w:type="dxa"/>
            <w:vAlign w:val="bottom"/>
          </w:tcPr>
          <w:p>
            <w:pPr>
              <w:spacing w:after="0"/>
              <w:rPr>
                <w:sz w:val="13"/>
                <w:szCs w:val="13"/>
                <w:color w:val="auto"/>
              </w:rPr>
            </w:pPr>
          </w:p>
        </w:tc>
        <w:tc>
          <w:tcPr>
            <w:tcW w:w="11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32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124</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375</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(244)</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-1636395</wp:posOffset>
            </wp:positionV>
            <wp:extent cx="6731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-1636395</wp:posOffset>
            </wp:positionV>
            <wp:extent cx="673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-1636395</wp:posOffset>
            </wp:positionV>
            <wp:extent cx="6731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-1636395</wp:posOffset>
            </wp:positionV>
            <wp:extent cx="6731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-1636395</wp:posOffset>
            </wp:positionV>
            <wp:extent cx="673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-1636395</wp:posOffset>
            </wp:positionV>
            <wp:extent cx="1276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-780415</wp:posOffset>
            </wp:positionV>
            <wp:extent cx="6731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-780415</wp:posOffset>
            </wp:positionV>
            <wp:extent cx="673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-780415</wp:posOffset>
            </wp:positionV>
            <wp:extent cx="6731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-780415</wp:posOffset>
            </wp:positionV>
            <wp:extent cx="6731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-780415</wp:posOffset>
            </wp:positionV>
            <wp:extent cx="673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-780415</wp:posOffset>
            </wp:positionV>
            <wp:extent cx="1276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-554990</wp:posOffset>
            </wp:positionV>
            <wp:extent cx="6731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-554990</wp:posOffset>
            </wp:positionV>
            <wp:extent cx="673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-554990</wp:posOffset>
            </wp:positionV>
            <wp:extent cx="673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-554990</wp:posOffset>
            </wp:positionV>
            <wp:extent cx="6731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-554990</wp:posOffset>
            </wp:positionV>
            <wp:extent cx="6731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-554990</wp:posOffset>
            </wp:positionV>
            <wp:extent cx="12763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-329565</wp:posOffset>
            </wp:positionV>
            <wp:extent cx="6731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-329565</wp:posOffset>
            </wp:positionV>
            <wp:extent cx="673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-329565</wp:posOffset>
            </wp:positionV>
            <wp:extent cx="6731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-329565</wp:posOffset>
            </wp:positionV>
            <wp:extent cx="673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-329565</wp:posOffset>
            </wp:positionV>
            <wp:extent cx="6731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-329565</wp:posOffset>
            </wp:positionV>
            <wp:extent cx="12763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9"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Corporate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right w:val="single" w:sz="8" w:color="auto"/>
            </w:tcBorders>
            <w:gridSpan w:val="5"/>
          </w:tcPr>
          <w:p>
            <w:pPr>
              <w:jc w:val="center"/>
              <w:ind w:right="489"/>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center"/>
              <w:ind w:right="171"/>
              <w:spacing w:after="0" w:line="145" w:lineRule="exact"/>
              <w:rPr>
                <w:sz w:val="20"/>
                <w:szCs w:val="20"/>
                <w:color w:val="auto"/>
              </w:rPr>
            </w:pPr>
            <w:r>
              <w:rPr>
                <w:rFonts w:ascii="Arial" w:cs="Arial" w:eastAsia="Arial" w:hAnsi="Arial"/>
                <w:sz w:val="14"/>
                <w:szCs w:val="14"/>
                <w:b w:val="1"/>
                <w:bCs w:val="1"/>
                <w:color w:val="auto"/>
              </w:rPr>
              <w:t>Three Months</w:t>
            </w:r>
          </w:p>
        </w:tc>
        <w:tc>
          <w:tcPr>
            <w:tcW w:w="3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top w:val="single" w:sz="8" w:color="auto"/>
            </w:tcBorders>
            <w:gridSpan w:val="4"/>
          </w:tcPr>
          <w:p>
            <w:pPr>
              <w:jc w:val="center"/>
              <w:spacing w:after="0" w:line="145" w:lineRule="exact"/>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tcBorders>
              <w:right w:val="single" w:sz="8" w:color="auto"/>
            </w:tcBorders>
            <w:gridSpan w:val="7"/>
          </w:tcPr>
          <w:p>
            <w:pPr>
              <w:jc w:val="center"/>
              <w:ind w:right="289"/>
              <w:spacing w:after="0"/>
              <w:rPr>
                <w:sz w:val="20"/>
                <w:szCs w:val="20"/>
                <w:color w:val="auto"/>
              </w:rPr>
            </w:pPr>
            <w:r>
              <w:rPr>
                <w:rFonts w:ascii="Arial" w:cs="Arial" w:eastAsia="Arial" w:hAnsi="Arial"/>
                <w:sz w:val="14"/>
                <w:szCs w:val="14"/>
                <w:b w:val="1"/>
                <w:bCs w:val="1"/>
                <w:color w:val="auto"/>
              </w:rPr>
              <w:t>Ended December 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540" w:type="dxa"/>
            <w:vAlign w:val="bottom"/>
            <w:gridSpan w:val="7"/>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center"/>
              <w:ind w:right="151"/>
              <w:spacing w:after="0" w:line="157"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left="331"/>
              <w:spacing w:after="0" w:line="157"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7"/>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right"/>
              <w:ind w:right="119"/>
              <w:spacing w:after="0" w:line="157"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tcBorders>
              <w:right w:val="single" w:sz="8" w:color="auto"/>
            </w:tcBorders>
            <w:gridSpan w:val="2"/>
            <w:shd w:val="clear" w:color="auto" w:fill="CFF0FC"/>
          </w:tcPr>
          <w:p>
            <w:pPr>
              <w:jc w:val="right"/>
              <w:ind w:right="2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14"/>
                <w:szCs w:val="14"/>
                <w:color w:val="auto"/>
              </w:rPr>
            </w:pPr>
          </w:p>
        </w:tc>
        <w:tc>
          <w:tcPr>
            <w:tcW w:w="600" w:type="dxa"/>
            <w:vAlign w:val="bottom"/>
            <w:tcBorders>
              <w:lef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(549)</w:t>
            </w:r>
          </w:p>
        </w:tc>
        <w:tc>
          <w:tcPr>
            <w:tcW w:w="540" w:type="dxa"/>
            <w:vAlign w:val="bottom"/>
            <w:gridSpan w:val="2"/>
            <w:shd w:val="clear" w:color="auto" w:fill="CFF0FC"/>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3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2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10,805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(10,766)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60" w:type="dxa"/>
            <w:vAlign w:val="bottom"/>
          </w:tcPr>
          <w:p>
            <w:pPr>
              <w:spacing w:after="0" w:line="157" w:lineRule="exact"/>
              <w:rPr>
                <w:sz w:val="20"/>
                <w:szCs w:val="20"/>
                <w:color w:val="auto"/>
              </w:rPr>
            </w:pPr>
            <w:r>
              <w:rPr>
                <w:rFonts w:ascii="Arial" w:cs="Arial" w:eastAsia="Arial" w:hAnsi="Arial"/>
                <w:sz w:val="14"/>
                <w:szCs w:val="14"/>
                <w:color w:val="auto"/>
              </w:rPr>
              <w:t>Net interest loss after losses and recoveries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right w:val="single" w:sz="8" w:color="auto"/>
            </w:tcBorders>
            <w:gridSpan w:val="2"/>
          </w:tcPr>
          <w:p>
            <w:pPr>
              <w:jc w:val="right"/>
              <w:ind w:right="229"/>
              <w:spacing w:after="0" w:line="157"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right"/>
              <w:ind w:right="40"/>
              <w:spacing w:after="0" w:line="157" w:lineRule="exact"/>
              <w:rPr>
                <w:sz w:val="20"/>
                <w:szCs w:val="20"/>
                <w:color w:val="auto"/>
              </w:rPr>
            </w:pPr>
            <w:r>
              <w:rPr>
                <w:rFonts w:ascii="Arial" w:cs="Arial" w:eastAsia="Arial" w:hAnsi="Arial"/>
                <w:sz w:val="14"/>
                <w:szCs w:val="14"/>
                <w:color w:val="auto"/>
              </w:rPr>
              <w:t>(11,354)</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11,315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right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3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left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Warranties and GAP income, net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w:t>
            </w:r>
          </w:p>
        </w:tc>
        <w:tc>
          <w:tcPr>
            <w:tcW w:w="3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0" w:type="dxa"/>
            <w:vAlign w:val="bottom"/>
            <w:tcBorders>
              <w:lef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(728)</w:t>
            </w: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w:t>
            </w:r>
          </w:p>
        </w:tc>
        <w:tc>
          <w:tcPr>
            <w:tcW w:w="3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noninterest income</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676</w:t>
            </w:r>
          </w:p>
        </w:tc>
        <w:tc>
          <w:tcPr>
            <w:tcW w:w="3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0" w:type="dxa"/>
            <w:vAlign w:val="bottom"/>
            <w:tcBorders>
              <w:left w:val="single" w:sz="8" w:color="CFF0FC"/>
            </w:tcBorders>
            <w:gridSpan w:val="3"/>
            <w:shd w:val="clear" w:color="auto" w:fill="CFF0FC"/>
          </w:tcPr>
          <w:p>
            <w:pPr>
              <w:jc w:val="right"/>
              <w:ind w:right="40"/>
              <w:spacing w:after="0" w:line="157" w:lineRule="exact"/>
              <w:rPr>
                <w:sz w:val="20"/>
                <w:szCs w:val="20"/>
                <w:color w:val="auto"/>
              </w:rPr>
            </w:pPr>
            <w:r>
              <w:rPr>
                <w:rFonts w:ascii="Arial" w:cs="Arial" w:eastAsia="Arial" w:hAnsi="Arial"/>
                <w:sz w:val="14"/>
                <w:szCs w:val="14"/>
                <w:color w:val="auto"/>
              </w:rPr>
              <w:t>(420)</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1,096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261.0%</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76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CFF0FC"/>
              <w:right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860</w:t>
            </w:r>
          </w:p>
        </w:tc>
        <w:tc>
          <w:tcPr>
            <w:tcW w:w="3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921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1,264</w:t>
            </w:r>
          </w:p>
        </w:tc>
        <w:tc>
          <w:tcPr>
            <w:tcW w:w="3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2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4,375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(3,111)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Software and IT costs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301</w:t>
            </w:r>
          </w:p>
        </w:tc>
        <w:tc>
          <w:tcPr>
            <w:tcW w:w="3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706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on corporate debt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3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2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670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501</w:t>
            </w:r>
          </w:p>
        </w:tc>
        <w:tc>
          <w:tcPr>
            <w:tcW w:w="3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expenses</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3,238</w:t>
            </w:r>
          </w:p>
        </w:tc>
        <w:tc>
          <w:tcPr>
            <w:tcW w:w="3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tcBorders>
              <w:left w:val="single" w:sz="8" w:color="CFF0FC"/>
            </w:tcBorders>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8,114</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(4,876)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CFF0FC"/>
              <w:right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Provision for income taxes from continuing operations</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tcBorders>
              <w:right w:val="single" w:sz="8" w:color="auto"/>
            </w:tcBorders>
            <w:gridSpan w:val="2"/>
            <w:shd w:val="clear" w:color="auto" w:fill="CFF0FC"/>
          </w:tcPr>
          <w:p>
            <w:pPr>
              <w:jc w:val="right"/>
              <w:ind w:right="229"/>
              <w:spacing w:after="0" w:line="157" w:lineRule="exact"/>
              <w:rPr>
                <w:sz w:val="20"/>
                <w:szCs w:val="20"/>
                <w:color w:val="auto"/>
              </w:rPr>
            </w:pPr>
            <w:r>
              <w:rPr>
                <w:rFonts w:ascii="Arial" w:cs="Arial" w:eastAsia="Arial" w:hAnsi="Arial"/>
                <w:sz w:val="14"/>
                <w:szCs w:val="14"/>
                <w:color w:val="auto"/>
              </w:rPr>
              <w:t>(71)</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38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(71)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center"/>
              <w:ind w:right="29"/>
              <w:spacing w:after="0"/>
              <w:rPr>
                <w:sz w:val="20"/>
                <w:szCs w:val="20"/>
                <w:color w:val="auto"/>
              </w:rPr>
            </w:pPr>
            <w:r>
              <w:rPr>
                <w:rFonts w:ascii="Arial" w:cs="Arial" w:eastAsia="Arial" w:hAnsi="Arial"/>
                <w:sz w:val="12"/>
                <w:szCs w:val="12"/>
                <w:b w:val="1"/>
                <w:bCs w:val="1"/>
                <w:color w:val="auto"/>
                <w:w w:val="98"/>
              </w:rPr>
              <w:t>Successor</w:t>
            </w:r>
          </w:p>
        </w:tc>
        <w:tc>
          <w:tcPr>
            <w:tcW w:w="8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center"/>
              <w:ind w:right="89"/>
              <w:spacing w:after="0"/>
              <w:rPr>
                <w:sz w:val="20"/>
                <w:szCs w:val="20"/>
                <w:color w:val="auto"/>
              </w:rPr>
            </w:pPr>
            <w:r>
              <w:rPr>
                <w:rFonts w:ascii="Arial" w:cs="Arial" w:eastAsia="Arial" w:hAnsi="Arial"/>
                <w:sz w:val="12"/>
                <w:szCs w:val="12"/>
                <w:b w:val="1"/>
                <w:bCs w:val="1"/>
                <w:color w:val="auto"/>
                <w:w w:val="99"/>
              </w:rPr>
              <w:t>Predecessor</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center"/>
              <w:ind w:right="91"/>
              <w:spacing w:after="0"/>
              <w:rPr>
                <w:sz w:val="20"/>
                <w:szCs w:val="20"/>
                <w:color w:val="auto"/>
              </w:rPr>
            </w:pPr>
            <w:r>
              <w:rPr>
                <w:rFonts w:ascii="Arial" w:cs="Arial" w:eastAsia="Arial" w:hAnsi="Arial"/>
                <w:sz w:val="12"/>
                <w:szCs w:val="12"/>
                <w:b w:val="1"/>
                <w:bCs w:val="1"/>
                <w:color w:val="auto"/>
                <w:w w:val="96"/>
              </w:rPr>
              <w:t>Non-GAAP</w:t>
            </w:r>
          </w:p>
        </w:tc>
        <w:tc>
          <w:tcPr>
            <w:tcW w:w="220" w:type="dxa"/>
            <w:vAlign w:val="bottom"/>
          </w:tcPr>
          <w:p>
            <w:pPr>
              <w:spacing w:after="0"/>
              <w:rPr>
                <w:sz w:val="15"/>
                <w:szCs w:val="15"/>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97"/>
              </w:rPr>
              <w:t>Predecessor</w:t>
            </w:r>
          </w:p>
        </w:tc>
        <w:tc>
          <w:tcPr>
            <w:tcW w:w="2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6"/>
              </w:rPr>
              <w:t>Non-GAAP</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Non-GAAP</w:t>
            </w:r>
          </w:p>
        </w:tc>
        <w:tc>
          <w:tcPr>
            <w:tcW w:w="2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5"/>
              </w:rPr>
              <w:t>Combined</w:t>
            </w:r>
          </w:p>
        </w:tc>
        <w:tc>
          <w:tcPr>
            <w:tcW w:w="220" w:type="dxa"/>
            <w:vAlign w:val="bottom"/>
          </w:tcPr>
          <w:p>
            <w:pPr>
              <w:spacing w:after="0"/>
              <w:rPr>
                <w:sz w:val="12"/>
                <w:szCs w:val="12"/>
                <w:color w:val="auto"/>
              </w:rPr>
            </w:pPr>
          </w:p>
        </w:tc>
        <w:tc>
          <w:tcPr>
            <w:tcW w:w="920" w:type="dxa"/>
            <w:vAlign w:val="bottom"/>
            <w:tcBorders>
              <w:bottom w:val="single" w:sz="8" w:color="auto"/>
            </w:tcBorders>
            <w:gridSpan w:val="4"/>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49"/>
              <w:spacing w:after="0" w:line="110" w:lineRule="exact"/>
              <w:rPr>
                <w:sz w:val="20"/>
                <w:szCs w:val="20"/>
                <w:color w:val="auto"/>
              </w:rPr>
            </w:pPr>
            <w:r>
              <w:rPr>
                <w:rFonts w:ascii="Arial" w:cs="Arial" w:eastAsia="Arial" w:hAnsi="Arial"/>
                <w:sz w:val="12"/>
                <w:szCs w:val="12"/>
                <w:b w:val="1"/>
                <w:bCs w:val="1"/>
                <w:color w:val="auto"/>
                <w:w w:val="97"/>
              </w:rPr>
              <w:t>Period from</w:t>
            </w:r>
          </w:p>
        </w:tc>
        <w:tc>
          <w:tcPr>
            <w:tcW w:w="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2"/>
                <w:szCs w:val="12"/>
                <w:b w:val="1"/>
                <w:bCs w:val="1"/>
                <w:color w:val="auto"/>
                <w:w w:val="97"/>
              </w:rPr>
              <w:t>Period from</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0" w:lineRule="exact"/>
              <w:rPr>
                <w:sz w:val="20"/>
                <w:szCs w:val="20"/>
                <w:color w:val="auto"/>
              </w:rPr>
            </w:pPr>
            <w:r>
              <w:rPr>
                <w:rFonts w:ascii="Arial" w:cs="Arial" w:eastAsia="Arial" w:hAnsi="Arial"/>
                <w:sz w:val="12"/>
                <w:szCs w:val="12"/>
                <w:b w:val="1"/>
                <w:bCs w:val="1"/>
                <w:color w:val="auto"/>
                <w:w w:val="98"/>
              </w:rPr>
              <w:t>January 15</w:t>
            </w:r>
          </w:p>
        </w:tc>
        <w:tc>
          <w:tcPr>
            <w:tcW w:w="2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w w:val="96"/>
              </w:rPr>
              <w:t>Year Ended</w:t>
            </w:r>
          </w:p>
        </w:tc>
        <w:tc>
          <w:tcPr>
            <w:tcW w:w="220" w:type="dxa"/>
            <w:vAlign w:val="bottom"/>
          </w:tcPr>
          <w:p>
            <w:pPr>
              <w:spacing w:after="0"/>
              <w:rPr>
                <w:sz w:val="11"/>
                <w:szCs w:val="11"/>
                <w:color w:val="auto"/>
              </w:rPr>
            </w:pPr>
          </w:p>
        </w:tc>
        <w:tc>
          <w:tcPr>
            <w:tcW w:w="1120" w:type="dxa"/>
            <w:vAlign w:val="bottom"/>
            <w:gridSpan w:val="5"/>
            <w:vMerge w:val="restart"/>
          </w:tcPr>
          <w:p>
            <w:pPr>
              <w:jc w:val="center"/>
              <w:ind w:right="220"/>
              <w:spacing w:after="0"/>
              <w:rPr>
                <w:sz w:val="20"/>
                <w:szCs w:val="20"/>
                <w:color w:val="auto"/>
              </w:rPr>
            </w:pPr>
            <w:r>
              <w:rPr>
                <w:rFonts w:ascii="Arial" w:cs="Arial" w:eastAsia="Arial" w:hAnsi="Arial"/>
                <w:sz w:val="12"/>
                <w:szCs w:val="12"/>
                <w:b w:val="1"/>
                <w:bCs w:val="1"/>
                <w:color w:val="auto"/>
                <w:w w:val="99"/>
              </w:rPr>
              <w:t>Year Ended</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0" w:lineRule="exact"/>
              <w:rPr>
                <w:sz w:val="20"/>
                <w:szCs w:val="20"/>
                <w:color w:val="auto"/>
              </w:rPr>
            </w:pPr>
            <w:r>
              <w:rPr>
                <w:rFonts w:ascii="Arial" w:cs="Arial" w:eastAsia="Arial" w:hAnsi="Arial"/>
                <w:sz w:val="12"/>
                <w:szCs w:val="12"/>
                <w:b w:val="1"/>
                <w:bCs w:val="1"/>
                <w:color w:val="auto"/>
                <w:w w:val="96"/>
              </w:rPr>
              <w:t>through</w:t>
            </w:r>
          </w:p>
        </w:tc>
        <w:tc>
          <w:tcPr>
            <w:tcW w:w="2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jc w:val="center"/>
              <w:ind w:right="180"/>
              <w:spacing w:after="0" w:line="130" w:lineRule="exact"/>
              <w:rPr>
                <w:sz w:val="20"/>
                <w:szCs w:val="20"/>
                <w:color w:val="auto"/>
              </w:rPr>
            </w:pPr>
            <w:r>
              <w:rPr>
                <w:rFonts w:ascii="Arial" w:cs="Arial" w:eastAsia="Arial" w:hAnsi="Arial"/>
                <w:sz w:val="12"/>
                <w:szCs w:val="12"/>
                <w:b w:val="1"/>
                <w:bCs w:val="1"/>
                <w:color w:val="auto"/>
                <w:w w:val="99"/>
              </w:rPr>
              <w:t>January 1 through</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7"/>
              </w:rPr>
              <w:t>December 31,</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6"/>
              </w:rPr>
              <w:t>January 14,</w:t>
            </w:r>
          </w:p>
        </w:tc>
        <w:tc>
          <w:tcPr>
            <w:tcW w:w="12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December 31,</w:t>
            </w:r>
          </w:p>
        </w:tc>
        <w:tc>
          <w:tcPr>
            <w:tcW w:w="220" w:type="dxa"/>
            <w:vAlign w:val="bottom"/>
          </w:tcPr>
          <w:p>
            <w:pPr>
              <w:spacing w:after="0"/>
              <w:rPr>
                <w:sz w:val="12"/>
                <w:szCs w:val="12"/>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99"/>
              </w:rPr>
              <w:t>December 31,</w:t>
            </w:r>
          </w:p>
        </w:tc>
        <w:tc>
          <w:tcPr>
            <w:tcW w:w="10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1"/>
                <w:szCs w:val="11"/>
                <w:b w:val="1"/>
                <w:bCs w:val="1"/>
                <w:color w:val="auto"/>
              </w:rPr>
              <w:t>Change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36"/>
              <w:spacing w:after="0"/>
              <w:rPr>
                <w:sz w:val="20"/>
                <w:szCs w:val="20"/>
                <w:color w:val="auto"/>
              </w:rPr>
            </w:pPr>
            <w:r>
              <w:rPr>
                <w:rFonts w:ascii="Arial" w:cs="Arial" w:eastAsia="Arial" w:hAnsi="Arial"/>
                <w:sz w:val="11"/>
                <w:szCs w:val="11"/>
                <w:b w:val="1"/>
                <w:bCs w:val="1"/>
                <w:color w:val="auto"/>
              </w:rPr>
              <w:t>% Change</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center"/>
              <w:spacing w:after="0" w:line="110" w:lineRule="exact"/>
              <w:rPr>
                <w:sz w:val="20"/>
                <w:szCs w:val="20"/>
                <w:color w:val="auto"/>
              </w:rPr>
            </w:pPr>
            <w:r>
              <w:rPr>
                <w:rFonts w:ascii="Arial" w:cs="Arial" w:eastAsia="Arial" w:hAnsi="Arial"/>
                <w:sz w:val="11"/>
                <w:szCs w:val="11"/>
                <w:b w:val="1"/>
                <w:bCs w:val="1"/>
                <w:color w:val="auto"/>
                <w:w w:val="97"/>
              </w:rPr>
              <w:t>2025</w:t>
            </w:r>
          </w:p>
        </w:tc>
        <w:tc>
          <w:tcPr>
            <w:tcW w:w="120" w:type="dxa"/>
            <w:vAlign w:val="bottom"/>
            <w:tcBorders>
              <w:top w:val="single" w:sz="8" w:color="auto"/>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center"/>
              <w:ind w:left="111"/>
              <w:spacing w:after="0" w:line="110" w:lineRule="exact"/>
              <w:rPr>
                <w:sz w:val="20"/>
                <w:szCs w:val="20"/>
                <w:color w:val="auto"/>
              </w:rPr>
            </w:pPr>
            <w:r>
              <w:rPr>
                <w:rFonts w:ascii="Arial" w:cs="Arial" w:eastAsia="Arial" w:hAnsi="Arial"/>
                <w:sz w:val="11"/>
                <w:szCs w:val="11"/>
                <w:b w:val="1"/>
                <w:bCs w:val="1"/>
                <w:color w:val="auto"/>
                <w:w w:val="97"/>
              </w:rPr>
              <w:t>2025</w:t>
            </w:r>
          </w:p>
        </w:tc>
        <w:tc>
          <w:tcPr>
            <w:tcW w:w="340" w:type="dxa"/>
            <w:vAlign w:val="bottom"/>
            <w:tcBorders>
              <w:top w:val="single" w:sz="8" w:color="auto"/>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center"/>
              <w:ind w:right="51"/>
              <w:spacing w:after="0" w:line="110" w:lineRule="exact"/>
              <w:rPr>
                <w:sz w:val="20"/>
                <w:szCs w:val="20"/>
                <w:color w:val="auto"/>
              </w:rPr>
            </w:pPr>
            <w:r>
              <w:rPr>
                <w:rFonts w:ascii="Arial" w:cs="Arial" w:eastAsia="Arial" w:hAnsi="Arial"/>
                <w:sz w:val="11"/>
                <w:szCs w:val="11"/>
                <w:b w:val="1"/>
                <w:bCs w:val="1"/>
                <w:color w:val="auto"/>
                <w:w w:val="97"/>
              </w:rPr>
              <w:t>2025</w:t>
            </w:r>
          </w:p>
        </w:tc>
        <w:tc>
          <w:tcPr>
            <w:tcW w:w="220" w:type="dxa"/>
            <w:vAlign w:val="bottom"/>
          </w:tcPr>
          <w:p>
            <w:pPr>
              <w:spacing w:after="0"/>
              <w:rPr>
                <w:sz w:val="9"/>
                <w:szCs w:val="9"/>
                <w:color w:val="auto"/>
              </w:rPr>
            </w:pPr>
          </w:p>
        </w:tc>
        <w:tc>
          <w:tcPr>
            <w:tcW w:w="920" w:type="dxa"/>
            <w:vAlign w:val="bottom"/>
            <w:tcBorders>
              <w:top w:val="single" w:sz="8" w:color="auto"/>
              <w:bottom w:val="single" w:sz="8" w:color="auto"/>
            </w:tcBorders>
            <w:gridSpan w:val="4"/>
          </w:tcPr>
          <w:p>
            <w:pPr>
              <w:jc w:val="center"/>
              <w:spacing w:after="0" w:line="110" w:lineRule="exact"/>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6"/>
          </w:tcPr>
          <w:p>
            <w:pPr>
              <w:jc w:val="right"/>
              <w:ind w:right="551"/>
              <w:spacing w:after="0" w:line="157"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 (expense)</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360" w:type="dxa"/>
            <w:vAlign w:val="bottom"/>
            <w:gridSpan w:val="2"/>
            <w:shd w:val="clear" w:color="auto" w:fill="CFF0FC"/>
          </w:tcPr>
          <w:p>
            <w:pPr>
              <w:jc w:val="center"/>
              <w:ind w:left="89"/>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(71)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520" w:type="dxa"/>
            <w:vAlign w:val="bottom"/>
            <w:tcBorders>
              <w:lef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2,058</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(gains), net of recoveries</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385</w:t>
            </w:r>
          </w:p>
        </w:tc>
        <w:tc>
          <w:tcPr>
            <w:tcW w:w="8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(855)</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w:t>
            </w:r>
          </w:p>
        </w:tc>
        <w:tc>
          <w:tcPr>
            <w:tcW w:w="22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21,239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(21,709)</w:t>
            </w: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60" w:type="dxa"/>
            <w:vAlign w:val="bottom"/>
          </w:tcPr>
          <w:p>
            <w:pPr>
              <w:spacing w:after="0" w:line="157" w:lineRule="exact"/>
              <w:rPr>
                <w:sz w:val="20"/>
                <w:szCs w:val="20"/>
                <w:color w:val="auto"/>
              </w:rPr>
            </w:pPr>
            <w:r>
              <w:rPr>
                <w:rFonts w:ascii="Arial" w:cs="Arial" w:eastAsia="Arial" w:hAnsi="Arial"/>
                <w:sz w:val="14"/>
                <w:szCs w:val="14"/>
                <w:color w:val="auto"/>
              </w:rPr>
              <w:t>Net interest income after losses and recoveries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20"/>
              <w:spacing w:after="0" w:line="157" w:lineRule="exact"/>
              <w:rPr>
                <w:sz w:val="20"/>
                <w:szCs w:val="20"/>
                <w:color w:val="auto"/>
              </w:rPr>
            </w:pPr>
            <w:r>
              <w:rPr>
                <w:rFonts w:ascii="Arial" w:cs="Arial" w:eastAsia="Arial" w:hAnsi="Arial"/>
                <w:sz w:val="14"/>
                <w:szCs w:val="14"/>
                <w:color w:val="auto"/>
              </w:rPr>
              <w:t>(385)</w:t>
            </w: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784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399</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(23,368)</w:t>
            </w:r>
          </w:p>
        </w:tc>
        <w:tc>
          <w:tcPr>
            <w:tcW w:w="100" w:type="dxa"/>
            <w:vAlign w:val="bottom"/>
          </w:tcPr>
          <w:p>
            <w:pPr>
              <w:spacing w:after="0"/>
              <w:rPr>
                <w:sz w:val="13"/>
                <w:szCs w:val="13"/>
                <w:color w:val="auto"/>
              </w:rPr>
            </w:pPr>
          </w:p>
        </w:tc>
        <w:tc>
          <w:tcPr>
            <w:tcW w:w="740" w:type="dxa"/>
            <w:vAlign w:val="bottom"/>
            <w:gridSpan w:val="3"/>
          </w:tcPr>
          <w:p>
            <w:pPr>
              <w:jc w:val="right"/>
              <w:ind w:right="20"/>
              <w:spacing w:after="0" w:line="157" w:lineRule="exact"/>
              <w:rPr>
                <w:sz w:val="20"/>
                <w:szCs w:val="20"/>
                <w:color w:val="auto"/>
              </w:rPr>
            </w:pPr>
            <w:r>
              <w:rPr>
                <w:rFonts w:ascii="Arial" w:cs="Arial" w:eastAsia="Arial" w:hAnsi="Arial"/>
                <w:sz w:val="14"/>
                <w:szCs w:val="14"/>
                <w:color w:val="auto"/>
              </w:rPr>
              <w:t>23,767</w:t>
            </w:r>
          </w:p>
        </w:tc>
        <w:tc>
          <w:tcPr>
            <w:tcW w:w="100" w:type="dxa"/>
            <w:vAlign w:val="bottom"/>
          </w:tcPr>
          <w:p>
            <w:pPr>
              <w:spacing w:after="0"/>
              <w:rPr>
                <w:sz w:val="13"/>
                <w:szCs w:val="13"/>
                <w:color w:val="auto"/>
              </w:rPr>
            </w:pPr>
          </w:p>
        </w:tc>
        <w:tc>
          <w:tcPr>
            <w:tcW w:w="12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Noninterest (loss) 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Warranties and GAP income (loss), net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1,396</w:t>
            </w:r>
          </w:p>
        </w:tc>
        <w:tc>
          <w:tcPr>
            <w:tcW w:w="8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(83)</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1,313</w:t>
            </w:r>
          </w:p>
        </w:tc>
        <w:tc>
          <w:tcPr>
            <w:tcW w:w="22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(10,399)</w:t>
            </w:r>
          </w:p>
        </w:tc>
        <w:tc>
          <w:tcPr>
            <w:tcW w:w="10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11,712</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2,301</w:t>
            </w:r>
          </w:p>
        </w:tc>
        <w:tc>
          <w:tcPr>
            <w:tcW w:w="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2,335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1,824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noninterest (loss) income</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3,697</w:t>
            </w:r>
          </w:p>
        </w:tc>
        <w:tc>
          <w:tcPr>
            <w:tcW w:w="8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(49)</w:t>
            </w: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3,648</w:t>
            </w:r>
          </w:p>
        </w:tc>
        <w:tc>
          <w:tcPr>
            <w:tcW w:w="220" w:type="dxa"/>
            <w:vAlign w:val="bottom"/>
            <w:tcBorders>
              <w:lef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(8,575)</w:t>
            </w:r>
          </w:p>
        </w:tc>
        <w:tc>
          <w:tcPr>
            <w:tcW w:w="10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12,223</w:t>
            </w:r>
          </w:p>
        </w:tc>
        <w:tc>
          <w:tcPr>
            <w:tcW w:w="10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76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CFF0FC"/>
              <w:right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4,777</w:t>
            </w:r>
          </w:p>
        </w:tc>
        <w:tc>
          <w:tcPr>
            <w:tcW w:w="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4,876</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10,626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(5,750)</w:t>
            </w:r>
          </w:p>
        </w:tc>
        <w:tc>
          <w:tcPr>
            <w:tcW w:w="1240" w:type="dxa"/>
            <w:vAlign w:val="bottom"/>
            <w:gridSpan w:val="3"/>
          </w:tcPr>
          <w:p>
            <w:pPr>
              <w:jc w:val="right"/>
              <w:ind w:right="40"/>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5,009</w:t>
            </w:r>
          </w:p>
        </w:tc>
        <w:tc>
          <w:tcPr>
            <w:tcW w:w="8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5,121</w:t>
            </w:r>
          </w:p>
        </w:tc>
        <w:tc>
          <w:tcPr>
            <w:tcW w:w="22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8,377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(3,256)</w:t>
            </w: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Software and IT costs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1,910</w:t>
            </w:r>
          </w:p>
        </w:tc>
        <w:tc>
          <w:tcPr>
            <w:tcW w:w="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1,998</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4,471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(2,473)</w:t>
            </w:r>
          </w:p>
        </w:tc>
        <w:tc>
          <w:tcPr>
            <w:tcW w:w="1240" w:type="dxa"/>
            <w:vAlign w:val="bottom"/>
            <w:gridSpan w:val="3"/>
          </w:tcPr>
          <w:p>
            <w:pPr>
              <w:jc w:val="right"/>
              <w:ind w:right="40"/>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on corporate debt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354</w:t>
            </w:r>
          </w:p>
        </w:tc>
        <w:tc>
          <w:tcPr>
            <w:tcW w:w="8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w:t>
            </w:r>
          </w:p>
        </w:tc>
        <w:tc>
          <w:tcPr>
            <w:tcW w:w="22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3,430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(2,985)</w:t>
            </w: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Impairment expense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677</w:t>
            </w:r>
          </w:p>
        </w:tc>
        <w:tc>
          <w:tcPr>
            <w:tcW w:w="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677</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4"/>
                <w:szCs w:val="1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2,091</w:t>
            </w:r>
          </w:p>
        </w:tc>
        <w:tc>
          <w:tcPr>
            <w:tcW w:w="22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6,422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(4,331)</w:t>
            </w: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6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14,729</w:t>
            </w:r>
          </w:p>
        </w:tc>
        <w:tc>
          <w:tcPr>
            <w:tcW w:w="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479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15,208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33,326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tcPr>
          <w:p>
            <w:pPr>
              <w:jc w:val="right"/>
              <w:ind w:right="60"/>
              <w:spacing w:after="0" w:line="157" w:lineRule="exact"/>
              <w:rPr>
                <w:sz w:val="20"/>
                <w:szCs w:val="20"/>
                <w:color w:val="auto"/>
              </w:rPr>
            </w:pPr>
            <w:r>
              <w:rPr>
                <w:rFonts w:ascii="Arial" w:cs="Arial" w:eastAsia="Arial" w:hAnsi="Arial"/>
                <w:sz w:val="14"/>
                <w:szCs w:val="14"/>
                <w:color w:val="auto"/>
              </w:rPr>
              <w:t>(18,118)</w:t>
            </w:r>
          </w:p>
        </w:tc>
        <w:tc>
          <w:tcPr>
            <w:tcW w:w="124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gridSpan w:val="2"/>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right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spacing w:after="0"/>
              <w:rPr>
                <w:sz w:val="13"/>
                <w:szCs w:val="13"/>
                <w:color w:val="auto"/>
              </w:rPr>
            </w:pPr>
          </w:p>
        </w:tc>
        <w:tc>
          <w:tcPr>
            <w:tcW w:w="340" w:type="dxa"/>
            <w:vAlign w:val="bottom"/>
            <w:tcBorders>
              <w:top w:val="single" w:sz="8" w:color="auto"/>
              <w:bottom w:val="single" w:sz="8" w:color="auto"/>
              <w:right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left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40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gridSpan w:val="3"/>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tcPr>
          <w:p>
            <w:pPr>
              <w:spacing w:after="0" w:line="157" w:lineRule="exact"/>
              <w:rPr>
                <w:sz w:val="20"/>
                <w:szCs w:val="20"/>
                <w:color w:val="auto"/>
              </w:rPr>
            </w:pPr>
            <w:r>
              <w:rPr>
                <w:rFonts w:ascii="Arial" w:cs="Arial" w:eastAsia="Arial" w:hAnsi="Arial"/>
                <w:sz w:val="14"/>
                <w:szCs w:val="14"/>
                <w:color w:val="auto"/>
              </w:rPr>
              <w:t>Provision for income taxes from continuing operations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170</w:t>
            </w:r>
          </w:p>
        </w:tc>
        <w:tc>
          <w:tcPr>
            <w:tcW w:w="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170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20"/>
              <w:spacing w:after="0" w:line="157" w:lineRule="exact"/>
              <w:rPr>
                <w:sz w:val="20"/>
                <w:szCs w:val="20"/>
                <w:color w:val="auto"/>
              </w:rPr>
            </w:pPr>
            <w:r>
              <w:rPr>
                <w:rFonts w:ascii="Arial" w:cs="Arial" w:eastAsia="Arial" w:hAnsi="Arial"/>
                <w:sz w:val="14"/>
                <w:szCs w:val="14"/>
                <w:color w:val="auto"/>
              </w:rPr>
              <w:t>170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-4707890</wp:posOffset>
            </wp:positionV>
            <wp:extent cx="673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-4707890</wp:posOffset>
            </wp:positionV>
            <wp:extent cx="6731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-4707890</wp:posOffset>
            </wp:positionV>
            <wp:extent cx="6731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-4707890</wp:posOffset>
            </wp:positionV>
            <wp:extent cx="12001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-4054475</wp:posOffset>
            </wp:positionV>
            <wp:extent cx="673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-4054475</wp:posOffset>
            </wp:positionV>
            <wp:extent cx="673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-4054475</wp:posOffset>
            </wp:positionV>
            <wp:extent cx="673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-4054475</wp:posOffset>
            </wp:positionV>
            <wp:extent cx="12001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-3198495</wp:posOffset>
            </wp:positionV>
            <wp:extent cx="673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-3198495</wp:posOffset>
            </wp:positionV>
            <wp:extent cx="673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-3198495</wp:posOffset>
            </wp:positionV>
            <wp:extent cx="673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-3198495</wp:posOffset>
            </wp:positionV>
            <wp:extent cx="12001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-1846580</wp:posOffset>
            </wp:positionV>
            <wp:extent cx="673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-1846580</wp:posOffset>
            </wp:positionV>
            <wp:extent cx="673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-1846580</wp:posOffset>
            </wp:positionV>
            <wp:extent cx="673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-1846580</wp:posOffset>
            </wp:positionV>
            <wp:extent cx="673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-1846580</wp:posOffset>
            </wp:positionV>
            <wp:extent cx="673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-1846580</wp:posOffset>
            </wp:positionV>
            <wp:extent cx="12763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-1193165</wp:posOffset>
            </wp:positionV>
            <wp:extent cx="673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-1193165</wp:posOffset>
            </wp:positionV>
            <wp:extent cx="6731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-1193165</wp:posOffset>
            </wp:positionV>
            <wp:extent cx="6731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-1193165</wp:posOffset>
            </wp:positionV>
            <wp:extent cx="673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-1193165</wp:posOffset>
            </wp:positionV>
            <wp:extent cx="673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-1193165</wp:posOffset>
            </wp:positionV>
            <wp:extent cx="12763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-344805</wp:posOffset>
            </wp:positionV>
            <wp:extent cx="673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-344805</wp:posOffset>
            </wp:positionV>
            <wp:extent cx="6731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-344805</wp:posOffset>
            </wp:positionV>
            <wp:extent cx="6731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-344805</wp:posOffset>
            </wp:positionV>
            <wp:extent cx="673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-344805</wp:posOffset>
            </wp:positionV>
            <wp:extent cx="6731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-344805</wp:posOffset>
            </wp:positionV>
            <wp:extent cx="12763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-119380</wp:posOffset>
            </wp:positionV>
            <wp:extent cx="673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-119380</wp:posOffset>
            </wp:positionV>
            <wp:extent cx="6731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-119380</wp:posOffset>
            </wp:positionV>
            <wp:extent cx="6731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-119380</wp:posOffset>
            </wp:positionV>
            <wp:extent cx="673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-119380</wp:posOffset>
            </wp:positionV>
            <wp:extent cx="6731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-119380</wp:posOffset>
            </wp:positionV>
            <wp:extent cx="12763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Non-GAAP Financial Measures</w:t>
      </w:r>
    </w:p>
    <w:p>
      <w:pPr>
        <w:spacing w:after="0" w:line="173"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In addition to our results determined in accordance with GAAP, we believe the following non-GAAP financial measures are useful in evaluating our operating performance: Adjusted net income (loss), total available liquidity, and tangible book value.</w:t>
      </w:r>
    </w:p>
    <w:p>
      <w:pPr>
        <w:spacing w:after="0" w:line="134" w:lineRule="exact"/>
        <w:rPr>
          <w:sz w:val="20"/>
          <w:szCs w:val="20"/>
          <w:color w:val="auto"/>
        </w:rPr>
      </w:pPr>
    </w:p>
    <w:p>
      <w:pPr>
        <w:jc w:val="both"/>
        <w:ind w:right="60"/>
        <w:spacing w:after="0" w:line="246" w:lineRule="auto"/>
        <w:rPr>
          <w:sz w:val="20"/>
          <w:szCs w:val="20"/>
          <w:color w:val="auto"/>
        </w:rPr>
      </w:pPr>
      <w:r>
        <w:rPr>
          <w:rFonts w:ascii="Arial" w:cs="Arial" w:eastAsia="Arial" w:hAnsi="Arial"/>
          <w:sz w:val="16"/>
          <w:szCs w:val="16"/>
          <w:color w:val="auto"/>
        </w:rPr>
        <w:t>Adjusted net income (loss) is a supplemental performance measure that our management uses to assess our operating performance and the operating leverage in our business. Because Adjusted net income (loss) facilitates internal comparisons of our historical operating performance on a more consistent basis, we use this measure for business planning purposes.</w:t>
      </w:r>
    </w:p>
    <w:p>
      <w:pPr>
        <w:spacing w:after="0" w:line="144"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Tangible book value is calculated as stockholders' equity in accordance with GAAP, after subtracting intangible assets. A reconciliation of stockholders' equity to tangible book value is included above.</w:t>
      </w:r>
    </w:p>
    <w:p>
      <w:pPr>
        <w:spacing w:after="0" w:line="8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Total available liquidity represents unrestricted cash and cash equivalents, availability from warehouse credit facilities and available liquidity from delayed draw facility. A reconciliation of unrestricted cash and cash equivalents to total available liquidity is included above.</w:t>
      </w:r>
    </w:p>
    <w:p>
      <w:pPr>
        <w:spacing w:after="0" w:line="7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These non-GAAP measures have limitations as analytical tools because they do not reflect all of the amounts associated with our results of operations or liquidity as determined in accordance with GAAP. Additionally, they may not be comparable to similarly titled measures of other companies. Other companies, including companies in our industry, may calculate non-GAAP financial measures differently than we do, limiting the usefulness of those measures for those comparative purposes. Because of these limitations, these non-GAAP financial measures should be considered along with other operating and financial performance measures presented in accordance with GAAP. The presentation of these non-GAAP financial measures are not intended to be considered in isolation or as a substitute for, or superior to, financial information prepared and presented in accordance with GAAP. We have reconciled these non-GAAP financial measures with the most directly comparable GAAP financial measures elsewhere herein.</w:t>
      </w: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403860</wp:posOffset>
            </wp:positionV>
            <wp:extent cx="717486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Non-GAAP Combined Year Ended December 31, 2025</w:t>
      </w:r>
    </w:p>
    <w:p>
      <w:pPr>
        <w:spacing w:after="0" w:line="173"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Our financial results for the periods from January 1, 2025 through January 14, 2025 and the year ended December 31, 2024 are referred to as those of the “Predecessor” periods. Our financial results for the periods from January 15, 2025 through December 31, 2025 and the three months ended December 31, 2025 are referred to as those of the “Successor” periods. Our results of operations as reported in our Consolidated Financial Statements for these periods are prepared in accordance with GAAP. Although GAAP requires that we report our results for the period from January 1, 2025 through January 14, 2025 and the period from January 15, 2025 through December 31, 2025, separately, management views our operating results for the year ended December 31, 2025 by combining the results of the applicable Predecessor and Successor periods because such presentation provides the most meaningful comparison of our results to prior periods. We believe we cannot adequately benchmark the operating results of the period from January 15, 2025 through December 31, 2025 against any of the previous periods reported in our Consolidated Financial Statements without combining it with the period from January 1, 2025 through January 14, 2025 and we do not believe that reviewing the results of this period in isolation would be useful in identifying trends in or reaching conclusions regarding our overall operating performance. Management believes that the key performance metrics for the Successor period when combined with the Predecessor period provide more meaningful comparisons to other periods and are useful in identifying current business trends. Accordingly, in addition to presenting our results of operations as reported in our Consolidated Financial Statements in accordance with GAAP, the tables and discussion below also present the combined results for the year ended December 31, 2025. The combined results for the year ended December 31, 2025 represent the sum of the reported amounts for the Predecessor period from January 1, 2025 through January 14, 2025 and the Successor period from January 15, 2025 through December 31, 2025. These combined results are not considered to be prepared in accordance with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year ended December 31, 2025 (prepared on a Non-GAAP basis) and year ended December 31, 2024 (prepared on a GAAP basis) may not be comparable, particularly for statement of operations line items significantly impacted by the reorganization transactions and the impact of fresh start accounting.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loss</w:t>
      </w:r>
    </w:p>
    <w:p>
      <w:pPr>
        <w:spacing w:after="0" w:line="173"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We calculate Adjusted net loss as net income (loss) from continuing operations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 reconciliation of Adjusted net income (loss) to net income (loss) from continuing operations, which is the most directly comparable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GAAP measure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Successor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Predecessor</w:t>
            </w:r>
          </w:p>
        </w:tc>
      </w:tr>
      <w:tr>
        <w:trPr>
          <w:trHeight w:val="145"/>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center"/>
              <w:ind w:right="169"/>
              <w:spacing w:after="0" w:line="145"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center"/>
              <w:ind w:right="109"/>
              <w:spacing w:after="0" w:line="145"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2"/>
                <w:szCs w:val="12"/>
                <w:color w:val="auto"/>
              </w:rPr>
            </w:pPr>
          </w:p>
        </w:tc>
      </w:tr>
      <w:tr>
        <w:trPr>
          <w:trHeight w:val="178"/>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57"/>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880" w:type="dxa"/>
            <w:vAlign w:val="bottom"/>
            <w:tcBorders>
              <w:top w:val="single" w:sz="8" w:color="auto"/>
              <w:bottom w:val="single" w:sz="8" w:color="auto"/>
            </w:tcBorders>
          </w:tcPr>
          <w:p>
            <w:pPr>
              <w:jc w:val="center"/>
              <w:ind w:right="129"/>
              <w:spacing w:after="0" w:line="157"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center"/>
              <w:ind w:right="89"/>
              <w:spacing w:after="0" w:line="157" w:lineRule="exact"/>
              <w:rPr>
                <w:sz w:val="20"/>
                <w:szCs w:val="20"/>
                <w:color w:val="auto"/>
              </w:rPr>
            </w:pPr>
            <w:r>
              <w:rPr>
                <w:rFonts w:ascii="Arial" w:cs="Arial" w:eastAsia="Arial" w:hAnsi="Arial"/>
                <w:sz w:val="14"/>
                <w:szCs w:val="14"/>
                <w:b w:val="1"/>
                <w:bCs w:val="1"/>
                <w:color w:val="auto"/>
                <w:w w:val="96"/>
              </w:rPr>
              <w:t>2024</w:t>
            </w:r>
          </w:p>
        </w:tc>
        <w:tc>
          <w:tcPr>
            <w:tcW w:w="120" w:type="dxa"/>
            <w:vAlign w:val="bottom"/>
          </w:tcPr>
          <w:p>
            <w:pPr>
              <w:spacing w:after="0"/>
              <w:rPr>
                <w:sz w:val="13"/>
                <w:szCs w:val="13"/>
                <w:color w:val="auto"/>
              </w:rPr>
            </w:pPr>
          </w:p>
        </w:tc>
      </w:tr>
      <w:tr>
        <w:trPr>
          <w:trHeight w:val="157"/>
        </w:trPr>
        <w:tc>
          <w:tcPr>
            <w:tcW w:w="66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loss from continuing operations</w:t>
            </w:r>
          </w:p>
        </w:tc>
        <w:tc>
          <w:tcPr>
            <w:tcW w:w="200" w:type="dxa"/>
            <w:vAlign w:val="bottom"/>
            <w:gridSpan w:val="2"/>
            <w:shd w:val="clear" w:color="auto" w:fill="CFF0FC"/>
          </w:tcPr>
          <w:p>
            <w:pPr>
              <w:jc w:val="right"/>
              <w:ind w:right="69"/>
              <w:spacing w:after="0" w:line="157" w:lineRule="exact"/>
              <w:rPr>
                <w:sz w:val="20"/>
                <w:szCs w:val="20"/>
                <w:color w:val="auto"/>
              </w:rPr>
            </w:pPr>
            <w:r>
              <w:rPr>
                <w:rFonts w:ascii="Arial" w:cs="Arial" w:eastAsia="Arial" w:hAnsi="Arial"/>
                <w:sz w:val="14"/>
                <w:szCs w:val="14"/>
                <w:color w:val="auto"/>
                <w:w w:val="76"/>
              </w:rPr>
              <w:t>$</w:t>
            </w:r>
          </w:p>
        </w:tc>
        <w:tc>
          <w:tcPr>
            <w:tcW w:w="2180" w:type="dxa"/>
            <w:vAlign w:val="bottom"/>
            <w:tcBorders>
              <w:right w:val="single" w:sz="8" w:color="auto"/>
            </w:tcBorders>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(11,521)</w:t>
            </w:r>
          </w:p>
        </w:tc>
        <w:tc>
          <w:tcPr>
            <w:tcW w:w="340" w:type="dxa"/>
            <w:vAlign w:val="bottom"/>
            <w:gridSpan w:val="2"/>
            <w:shd w:val="clear" w:color="auto" w:fill="CFF0FC"/>
          </w:tcPr>
          <w:p>
            <w:pPr>
              <w:jc w:val="right"/>
              <w:ind w:right="9"/>
              <w:spacing w:after="0" w:line="157" w:lineRule="exact"/>
              <w:rPr>
                <w:sz w:val="20"/>
                <w:szCs w:val="20"/>
                <w:color w:val="auto"/>
              </w:rPr>
            </w:pPr>
            <w:r>
              <w:rPr>
                <w:rFonts w:ascii="Arial" w:cs="Arial" w:eastAsia="Arial" w:hAnsi="Arial"/>
                <w:sz w:val="14"/>
                <w:szCs w:val="14"/>
                <w:color w:val="auto"/>
              </w:rPr>
              <w:t>$</w:t>
            </w:r>
          </w:p>
        </w:tc>
        <w:tc>
          <w:tcPr>
            <w:tcW w:w="190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(36,716)</w:t>
            </w:r>
          </w:p>
        </w:tc>
      </w:tr>
      <w:tr>
        <w:trPr>
          <w:trHeight w:val="166"/>
        </w:trPr>
        <w:tc>
          <w:tcPr>
            <w:tcW w:w="6640" w:type="dxa"/>
            <w:vAlign w:val="bottom"/>
          </w:tcPr>
          <w:p>
            <w:pPr>
              <w:spacing w:after="0"/>
              <w:rPr>
                <w:sz w:val="20"/>
                <w:szCs w:val="20"/>
                <w:color w:val="auto"/>
              </w:rPr>
            </w:pPr>
            <w:r>
              <w:rPr>
                <w:rFonts w:ascii="Arial" w:cs="Arial" w:eastAsia="Arial" w:hAnsi="Arial"/>
                <w:sz w:val="14"/>
                <w:szCs w:val="14"/>
                <w:color w:val="auto"/>
              </w:rPr>
              <w:t>Adjusted to exclude the following: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1,410</w:t>
            </w:r>
          </w:p>
        </w:tc>
        <w:tc>
          <w:tcPr>
            <w:tcW w:w="30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w:t>
            </w:r>
          </w:p>
        </w:tc>
        <w:tc>
          <w:tcPr>
            <w:tcW w:w="120" w:type="dxa"/>
            <w:vAlign w:val="bottom"/>
            <w:shd w:val="clear" w:color="auto" w:fill="CFF0FC"/>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Arial" w:cs="Arial" w:eastAsia="Arial" w:hAnsi="Arial"/>
                <w:sz w:val="14"/>
                <w:szCs w:val="14"/>
                <w:color w:val="auto"/>
              </w:rPr>
              <w:t>Severance expense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4"/>
                <w:szCs w:val="14"/>
                <w:color w:val="auto"/>
              </w:rPr>
            </w:pPr>
          </w:p>
        </w:tc>
      </w:tr>
      <w:tr>
        <w:trPr>
          <w:trHeight w:val="16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Bankruptcy costs (prepetition filing and post-emergence)</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180" w:type="dxa"/>
            <w:vAlign w:val="bottom"/>
            <w:tcBorders>
              <w:right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3,582</w:t>
            </w:r>
          </w:p>
        </w:tc>
        <w:tc>
          <w:tcPr>
            <w:tcW w:w="120" w:type="dxa"/>
            <w:vAlign w:val="bottom"/>
            <w:shd w:val="clear" w:color="auto" w:fill="CFF0FC"/>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Arial" w:cs="Arial" w:eastAsia="Arial" w:hAnsi="Arial"/>
                <w:sz w:val="14"/>
                <w:szCs w:val="14"/>
                <w:color w:val="auto"/>
              </w:rPr>
              <w:t>Reorganization items, net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5,564</w:t>
            </w:r>
          </w:p>
        </w:tc>
        <w:tc>
          <w:tcPr>
            <w:tcW w:w="120" w:type="dxa"/>
            <w:vAlign w:val="bottom"/>
          </w:tcPr>
          <w:p>
            <w:pPr>
              <w:spacing w:after="0"/>
              <w:rPr>
                <w:sz w:val="14"/>
                <w:szCs w:val="14"/>
                <w:color w:val="auto"/>
              </w:rPr>
            </w:pPr>
          </w:p>
        </w:tc>
      </w:tr>
      <w:tr>
        <w:trPr>
          <w:trHeight w:val="16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Impairment charges</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180" w:type="dxa"/>
            <w:vAlign w:val="bottom"/>
            <w:tcBorders>
              <w:right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7"/>
        </w:trPr>
        <w:tc>
          <w:tcPr>
            <w:tcW w:w="6640" w:type="dxa"/>
            <w:vAlign w:val="bottom"/>
          </w:tcPr>
          <w:p>
            <w:pPr>
              <w:spacing w:after="0" w:line="157" w:lineRule="exact"/>
              <w:rPr>
                <w:sz w:val="20"/>
                <w:szCs w:val="20"/>
                <w:color w:val="auto"/>
              </w:rPr>
            </w:pPr>
            <w:r>
              <w:rPr>
                <w:rFonts w:ascii="Arial" w:cs="Arial" w:eastAsia="Arial" w:hAnsi="Arial"/>
                <w:sz w:val="14"/>
                <w:szCs w:val="14"/>
                <w:color w:val="auto"/>
              </w:rPr>
              <w:t>Adjusted net loss</w:t>
            </w: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(10,111)</w:t>
            </w: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(26,348)</w:t>
            </w:r>
          </w:p>
        </w:tc>
        <w:tc>
          <w:tcPr>
            <w:tcW w:w="120" w:type="dxa"/>
            <w:vAlign w:val="bottom"/>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7"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8"/>
        </w:trPr>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69"/>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Predecessor</w:t>
            </w:r>
          </w:p>
        </w:tc>
      </w:tr>
      <w:tr>
        <w:trPr>
          <w:trHeight w:val="145"/>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109"/>
              <w:spacing w:after="0" w:line="145" w:lineRule="exact"/>
              <w:rPr>
                <w:sz w:val="20"/>
                <w:szCs w:val="20"/>
                <w:color w:val="auto"/>
              </w:rPr>
            </w:pPr>
            <w:r>
              <w:rPr>
                <w:rFonts w:ascii="Arial" w:cs="Arial" w:eastAsia="Arial" w:hAnsi="Arial"/>
                <w:sz w:val="14"/>
                <w:szCs w:val="14"/>
                <w:b w:val="1"/>
                <w:bCs w:val="1"/>
                <w:color w:val="auto"/>
              </w:rPr>
              <w:t>Period from</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66"/>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January 15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9"/>
              <w:spacing w:after="0"/>
              <w:rPr>
                <w:sz w:val="20"/>
                <w:szCs w:val="20"/>
                <w:color w:val="auto"/>
              </w:rPr>
            </w:pPr>
            <w:r>
              <w:rPr>
                <w:rFonts w:ascii="Arial" w:cs="Arial" w:eastAsia="Arial" w:hAnsi="Arial"/>
                <w:sz w:val="14"/>
                <w:szCs w:val="14"/>
                <w:b w:val="1"/>
                <w:bCs w:val="1"/>
                <w:color w:val="auto"/>
              </w:rPr>
              <w:t>Period from</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8"/>
              </w:rPr>
              <w:t>through</w:t>
            </w:r>
          </w:p>
        </w:tc>
        <w:tc>
          <w:tcPr>
            <w:tcW w:w="140" w:type="dxa"/>
            <w:vAlign w:val="bottom"/>
          </w:tcPr>
          <w:p>
            <w:pPr>
              <w:spacing w:after="0"/>
              <w:rPr>
                <w:sz w:val="14"/>
                <w:szCs w:val="14"/>
                <w:color w:val="auto"/>
              </w:rPr>
            </w:pPr>
          </w:p>
        </w:tc>
        <w:tc>
          <w:tcPr>
            <w:tcW w:w="164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rPr>
              <w:t>January 1 through</w:t>
            </w:r>
          </w:p>
        </w:tc>
        <w:tc>
          <w:tcPr>
            <w:tcW w:w="16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69"/>
              <w:spacing w:after="0"/>
              <w:rPr>
                <w:sz w:val="20"/>
                <w:szCs w:val="20"/>
                <w:color w:val="auto"/>
              </w:rPr>
            </w:pPr>
            <w:r>
              <w:rPr>
                <w:rFonts w:ascii="Arial" w:cs="Arial" w:eastAsia="Arial" w:hAnsi="Arial"/>
                <w:sz w:val="14"/>
                <w:szCs w:val="14"/>
                <w:b w:val="1"/>
                <w:bCs w:val="1"/>
                <w:color w:val="auto"/>
              </w:rPr>
              <w:t>January 14,</w:t>
            </w:r>
          </w:p>
        </w:tc>
        <w:tc>
          <w:tcPr>
            <w:tcW w:w="16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r>
      <w:tr>
        <w:trPr>
          <w:trHeight w:val="157"/>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69"/>
              <w:spacing w:after="0" w:line="157"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center"/>
              <w:ind w:right="109"/>
              <w:spacing w:after="0" w:line="157"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center"/>
              <w:ind w:right="109"/>
              <w:spacing w:after="0" w:line="157"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89"/>
              <w:spacing w:after="0" w:line="157"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57"/>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129"/>
              <w:spacing w:after="0" w:line="157" w:lineRule="exact"/>
              <w:rPr>
                <w:sz w:val="20"/>
                <w:szCs w:val="20"/>
                <w:color w:val="auto"/>
              </w:rPr>
            </w:pPr>
            <w:r>
              <w:rPr>
                <w:rFonts w:ascii="Arial" w:cs="Arial" w:eastAsia="Arial" w:hAnsi="Arial"/>
                <w:sz w:val="14"/>
                <w:szCs w:val="14"/>
                <w:b w:val="1"/>
                <w:bCs w:val="1"/>
                <w:color w:val="auto"/>
              </w:rPr>
              <w:t>(in</w:t>
            </w:r>
          </w:p>
        </w:tc>
        <w:tc>
          <w:tcPr>
            <w:tcW w:w="1620" w:type="dxa"/>
            <w:vAlign w:val="bottom"/>
            <w:gridSpan w:val="3"/>
          </w:tcPr>
          <w:p>
            <w:pPr>
              <w:jc w:val="right"/>
              <w:ind w:right="949"/>
              <w:spacing w:after="0" w:line="157" w:lineRule="exact"/>
              <w:rPr>
                <w:sz w:val="20"/>
                <w:szCs w:val="20"/>
                <w:color w:val="auto"/>
              </w:rPr>
            </w:pPr>
            <w:r>
              <w:rPr>
                <w:rFonts w:ascii="Arial" w:cs="Arial" w:eastAsia="Arial" w:hAnsi="Arial"/>
                <w:sz w:val="14"/>
                <w:szCs w:val="14"/>
                <w:b w:val="1"/>
                <w:bCs w:val="1"/>
                <w:color w:val="auto"/>
                <w:w w:val="76"/>
              </w:rPr>
              <w:t>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6"/>
        </w:trPr>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from continuing operations</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(54,046)</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45,090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(8,956)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(138,240)</w:t>
            </w:r>
          </w:p>
        </w:tc>
      </w:tr>
      <w:tr>
        <w:trPr>
          <w:trHeight w:val="166"/>
        </w:trPr>
        <w:tc>
          <w:tcPr>
            <w:tcW w:w="4840" w:type="dxa"/>
            <w:vAlign w:val="bottom"/>
          </w:tcPr>
          <w:p>
            <w:pPr>
              <w:spacing w:after="0"/>
              <w:rPr>
                <w:sz w:val="20"/>
                <w:szCs w:val="20"/>
                <w:color w:val="auto"/>
              </w:rPr>
            </w:pPr>
            <w:r>
              <w:rPr>
                <w:rFonts w:ascii="Arial" w:cs="Arial" w:eastAsia="Arial" w:hAnsi="Arial"/>
                <w:sz w:val="14"/>
                <w:szCs w:val="14"/>
                <w:color w:val="auto"/>
              </w:rPr>
              <w:t>Adjusted to exclude the following: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5,181</w:t>
            </w:r>
          </w:p>
        </w:tc>
        <w:tc>
          <w:tcPr>
            <w:tcW w:w="2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5,949</w:t>
            </w:r>
          </w:p>
        </w:tc>
        <w:tc>
          <w:tcPr>
            <w:tcW w:w="120" w:type="dxa"/>
            <w:vAlign w:val="bottom"/>
            <w:shd w:val="clear" w:color="auto" w:fill="CFF0FC"/>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Arial" w:cs="Arial" w:eastAsia="Arial" w:hAnsi="Arial"/>
                <w:sz w:val="14"/>
                <w:szCs w:val="14"/>
                <w:color w:val="auto"/>
              </w:rPr>
              <w:t>Severance expense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388</w:t>
            </w: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2,735</w:t>
            </w:r>
          </w:p>
        </w:tc>
        <w:tc>
          <w:tcPr>
            <w:tcW w:w="120" w:type="dxa"/>
            <w:vAlign w:val="bottom"/>
          </w:tcPr>
          <w:p>
            <w:pPr>
              <w:spacing w:after="0"/>
              <w:rPr>
                <w:sz w:val="14"/>
                <w:szCs w:val="14"/>
                <w:color w:val="auto"/>
              </w:rPr>
            </w:pPr>
          </w:p>
        </w:tc>
      </w:tr>
      <w:tr>
        <w:trPr>
          <w:trHeight w:val="166"/>
        </w:trPr>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Bankruptcy costs (prepetition filing and post-emergence)</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2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3,582</w:t>
            </w:r>
          </w:p>
        </w:tc>
        <w:tc>
          <w:tcPr>
            <w:tcW w:w="120" w:type="dxa"/>
            <w:vAlign w:val="bottom"/>
            <w:shd w:val="clear" w:color="auto" w:fill="CFF0FC"/>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Arial" w:cs="Arial" w:eastAsia="Arial" w:hAnsi="Arial"/>
                <w:sz w:val="14"/>
                <w:szCs w:val="14"/>
                <w:color w:val="auto"/>
              </w:rPr>
              <w:t>Reorganization items, 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129"/>
              <w:spacing w:after="0"/>
              <w:rPr>
                <w:sz w:val="20"/>
                <w:szCs w:val="20"/>
                <w:color w:val="auto"/>
              </w:rPr>
            </w:pPr>
            <w:r>
              <w:rPr>
                <w:rFonts w:ascii="Arial" w:cs="Arial" w:eastAsia="Arial" w:hAnsi="Arial"/>
                <w:sz w:val="14"/>
                <w:szCs w:val="14"/>
                <w:color w:val="auto"/>
              </w:rPr>
              <w:t>(51,036)</w:t>
            </w:r>
          </w:p>
        </w:tc>
        <w:tc>
          <w:tcPr>
            <w:tcW w:w="16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(51,036)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5,564</w:t>
            </w:r>
          </w:p>
        </w:tc>
        <w:tc>
          <w:tcPr>
            <w:tcW w:w="120" w:type="dxa"/>
            <w:vAlign w:val="bottom"/>
          </w:tcPr>
          <w:p>
            <w:pPr>
              <w:spacing w:after="0"/>
              <w:rPr>
                <w:sz w:val="14"/>
                <w:szCs w:val="14"/>
                <w:color w:val="auto"/>
              </w:rPr>
            </w:pPr>
          </w:p>
        </w:tc>
      </w:tr>
      <w:tr>
        <w:trPr>
          <w:trHeight w:val="166"/>
        </w:trPr>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Impairment charges</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2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5,159</w:t>
            </w:r>
          </w:p>
        </w:tc>
        <w:tc>
          <w:tcPr>
            <w:tcW w:w="120" w:type="dxa"/>
            <w:vAlign w:val="bottom"/>
            <w:shd w:val="clear" w:color="auto" w:fill="CFF0FC"/>
          </w:tcPr>
          <w:p>
            <w:pPr>
              <w:spacing w:after="0"/>
              <w:rPr>
                <w:sz w:val="14"/>
                <w:szCs w:val="14"/>
                <w:color w:val="auto"/>
              </w:rPr>
            </w:pPr>
          </w:p>
        </w:tc>
      </w:tr>
      <w:tr>
        <w:trPr>
          <w:trHeight w:val="157"/>
        </w:trPr>
        <w:tc>
          <w:tcPr>
            <w:tcW w:w="4840" w:type="dxa"/>
            <w:vAlign w:val="bottom"/>
          </w:tcPr>
          <w:p>
            <w:pPr>
              <w:spacing w:after="0" w:line="157" w:lineRule="exact"/>
              <w:rPr>
                <w:sz w:val="20"/>
                <w:szCs w:val="20"/>
                <w:color w:val="auto"/>
              </w:rPr>
            </w:pPr>
            <w:r>
              <w:rPr>
                <w:rFonts w:ascii="Arial" w:cs="Arial" w:eastAsia="Arial" w:hAnsi="Arial"/>
                <w:sz w:val="14"/>
                <w:szCs w:val="14"/>
                <w:color w:val="auto"/>
              </w:rPr>
              <w:t>Adjusted net loss</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(43,408)</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(5,798)</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(49,206)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(115,251)</w:t>
            </w:r>
          </w:p>
        </w:tc>
        <w:tc>
          <w:tcPr>
            <w:tcW w:w="120" w:type="dxa"/>
            <w:vAlign w:val="bottom"/>
          </w:tcPr>
          <w:p>
            <w:pPr>
              <w:spacing w:after="0"/>
              <w:rPr>
                <w:sz w:val="13"/>
                <w:szCs w:val="13"/>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6"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GAAP</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98"/>
              </w:rPr>
              <w:t>Success</w:t>
            </w:r>
          </w:p>
        </w:tc>
        <w:tc>
          <w:tcPr>
            <w:tcW w:w="120" w:type="dxa"/>
            <w:vAlign w:val="bottom"/>
          </w:tcPr>
          <w:p>
            <w:pPr>
              <w:spacing w:after="0"/>
              <w:rPr>
                <w:sz w:val="12"/>
                <w:szCs w:val="12"/>
                <w:color w:val="auto"/>
              </w:rPr>
            </w:pPr>
          </w:p>
        </w:tc>
        <w:tc>
          <w:tcPr>
            <w:tcW w:w="700" w:type="dxa"/>
            <w:vAlign w:val="bottom"/>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94"/>
              </w:rPr>
              <w:t>Success</w:t>
            </w:r>
          </w:p>
        </w:tc>
        <w:tc>
          <w:tcPr>
            <w:tcW w:w="120" w:type="dxa"/>
            <w:vAlign w:val="bottom"/>
          </w:tcPr>
          <w:p>
            <w:pPr>
              <w:spacing w:after="0"/>
              <w:rPr>
                <w:sz w:val="12"/>
                <w:szCs w:val="12"/>
                <w:color w:val="auto"/>
              </w:rPr>
            </w:pPr>
          </w:p>
        </w:tc>
        <w:tc>
          <w:tcPr>
            <w:tcW w:w="700" w:type="dxa"/>
            <w:vAlign w:val="bottom"/>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94"/>
              </w:rPr>
              <w:t>Success</w:t>
            </w:r>
          </w:p>
        </w:tc>
        <w:tc>
          <w:tcPr>
            <w:tcW w:w="120" w:type="dxa"/>
            <w:vAlign w:val="bottom"/>
          </w:tcPr>
          <w:p>
            <w:pPr>
              <w:spacing w:after="0"/>
              <w:rPr>
                <w:sz w:val="12"/>
                <w:szCs w:val="12"/>
                <w:color w:val="auto"/>
              </w:rPr>
            </w:pPr>
          </w:p>
        </w:tc>
        <w:tc>
          <w:tcPr>
            <w:tcW w:w="70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94"/>
              </w:rPr>
              <w:t>Success</w:t>
            </w:r>
          </w:p>
        </w:tc>
        <w:tc>
          <w:tcPr>
            <w:tcW w:w="120" w:type="dxa"/>
            <w:vAlign w:val="bottom"/>
          </w:tcPr>
          <w:p>
            <w:pPr>
              <w:spacing w:after="0"/>
              <w:rPr>
                <w:sz w:val="12"/>
                <w:szCs w:val="12"/>
                <w:color w:val="auto"/>
              </w:rPr>
            </w:pPr>
          </w:p>
        </w:tc>
        <w:tc>
          <w:tcPr>
            <w:tcW w:w="760" w:type="dxa"/>
            <w:vAlign w:val="bottom"/>
            <w:tcBorders>
              <w:right w:val="single" w:sz="8" w:color="auto"/>
            </w:tcBorders>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8"/>
              </w:rPr>
              <w:t>Success</w:t>
            </w:r>
          </w:p>
        </w:tc>
        <w:tc>
          <w:tcPr>
            <w:tcW w:w="120" w:type="dxa"/>
            <w:vAlign w:val="bottom"/>
          </w:tcPr>
          <w:p>
            <w:pPr>
              <w:spacing w:after="0"/>
              <w:rPr>
                <w:sz w:val="12"/>
                <w:szCs w:val="12"/>
                <w:color w:val="auto"/>
              </w:rPr>
            </w:pPr>
          </w:p>
        </w:tc>
        <w:tc>
          <w:tcPr>
            <w:tcW w:w="640" w:type="dxa"/>
            <w:vAlign w:val="bottom"/>
            <w:gridSpan w:val="3"/>
          </w:tcPr>
          <w:p>
            <w:pPr>
              <w:jc w:val="right"/>
              <w:ind w:right="140"/>
              <w:spacing w:after="0" w:line="142" w:lineRule="exact"/>
              <w:rPr>
                <w:sz w:val="20"/>
                <w:szCs w:val="20"/>
                <w:color w:val="auto"/>
              </w:rPr>
            </w:pPr>
            <w:r>
              <w:rPr>
                <w:rFonts w:ascii="Arial" w:cs="Arial" w:eastAsia="Arial" w:hAnsi="Arial"/>
                <w:sz w:val="13"/>
                <w:szCs w:val="13"/>
                <w:b w:val="1"/>
                <w:bCs w:val="1"/>
                <w:color w:val="auto"/>
                <w:w w:val="94"/>
              </w:rPr>
              <w:t>Predece</w:t>
            </w: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7"/>
              </w:rPr>
              <w:t>Combine</w:t>
            </w:r>
          </w:p>
        </w:tc>
        <w:tc>
          <w:tcPr>
            <w:tcW w:w="100" w:type="dxa"/>
            <w:vAlign w:val="bottom"/>
          </w:tcPr>
          <w:p>
            <w:pPr>
              <w:spacing w:after="0"/>
              <w:rPr>
                <w:sz w:val="12"/>
                <w:szCs w:val="12"/>
                <w:color w:val="auto"/>
              </w:rPr>
            </w:pPr>
          </w:p>
        </w:tc>
        <w:tc>
          <w:tcPr>
            <w:tcW w:w="660" w:type="dxa"/>
            <w:vAlign w:val="bottom"/>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98"/>
              </w:rPr>
              <w:t>Predece</w:t>
            </w:r>
          </w:p>
        </w:tc>
        <w:tc>
          <w:tcPr>
            <w:tcW w:w="100" w:type="dxa"/>
            <w:vAlign w:val="bottom"/>
          </w:tcPr>
          <w:p>
            <w:pPr>
              <w:spacing w:after="0"/>
              <w:rPr>
                <w:sz w:val="12"/>
                <w:szCs w:val="12"/>
                <w:color w:val="auto"/>
              </w:rPr>
            </w:pPr>
          </w:p>
        </w:tc>
        <w:tc>
          <w:tcPr>
            <w:tcW w:w="660" w:type="dxa"/>
            <w:vAlign w:val="bottom"/>
            <w:gridSpan w:val="3"/>
          </w:tcPr>
          <w:p>
            <w:pPr>
              <w:jc w:val="center"/>
              <w:ind w:right="100"/>
              <w:spacing w:after="0" w:line="142" w:lineRule="exact"/>
              <w:rPr>
                <w:sz w:val="20"/>
                <w:szCs w:val="20"/>
                <w:color w:val="auto"/>
              </w:rPr>
            </w:pPr>
            <w:r>
              <w:rPr>
                <w:rFonts w:ascii="Arial" w:cs="Arial" w:eastAsia="Arial" w:hAnsi="Arial"/>
                <w:sz w:val="13"/>
                <w:szCs w:val="13"/>
                <w:b w:val="1"/>
                <w:bCs w:val="1"/>
                <w:color w:val="auto"/>
                <w:w w:val="94"/>
              </w:rPr>
              <w:t>Predece</w:t>
            </w:r>
          </w:p>
        </w:tc>
        <w:tc>
          <w:tcPr>
            <w:tcW w:w="120" w:type="dxa"/>
            <w:vAlign w:val="bottom"/>
          </w:tcPr>
          <w:p>
            <w:pPr>
              <w:spacing w:after="0"/>
              <w:rPr>
                <w:sz w:val="12"/>
                <w:szCs w:val="12"/>
                <w:color w:val="auto"/>
              </w:rPr>
            </w:pPr>
          </w:p>
        </w:tc>
        <w:tc>
          <w:tcPr>
            <w:tcW w:w="660" w:type="dxa"/>
            <w:vAlign w:val="bottom"/>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98"/>
              </w:rPr>
              <w:t>Predece</w:t>
            </w:r>
          </w:p>
        </w:tc>
        <w:tc>
          <w:tcPr>
            <w:tcW w:w="100" w:type="dxa"/>
            <w:vAlign w:val="bottom"/>
          </w:tcPr>
          <w:p>
            <w:pPr>
              <w:spacing w:after="0"/>
              <w:rPr>
                <w:sz w:val="12"/>
                <w:szCs w:val="12"/>
                <w:color w:val="auto"/>
              </w:rPr>
            </w:pPr>
          </w:p>
        </w:tc>
        <w:tc>
          <w:tcPr>
            <w:tcW w:w="660" w:type="dxa"/>
            <w:vAlign w:val="bottom"/>
            <w:gridSpan w:val="3"/>
          </w:tcPr>
          <w:p>
            <w:pPr>
              <w:jc w:val="right"/>
              <w:ind w:right="140"/>
              <w:spacing w:after="0" w:line="142" w:lineRule="exact"/>
              <w:rPr>
                <w:sz w:val="20"/>
                <w:szCs w:val="20"/>
                <w:color w:val="auto"/>
              </w:rPr>
            </w:pPr>
            <w:r>
              <w:rPr>
                <w:rFonts w:ascii="Arial" w:cs="Arial" w:eastAsia="Arial" w:hAnsi="Arial"/>
                <w:sz w:val="13"/>
                <w:szCs w:val="13"/>
                <w:b w:val="1"/>
                <w:bCs w:val="1"/>
                <w:color w:val="auto"/>
                <w:w w:val="98"/>
              </w:rPr>
              <w:t>Predece</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3"/>
                <w:szCs w:val="13"/>
                <w:b w:val="1"/>
                <w:bCs w:val="1"/>
                <w:color w:val="auto"/>
                <w:w w:val="96"/>
              </w:rPr>
              <w:t>Predeces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or</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rPr>
              <w:t>or</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rPr>
              <w:t>or</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or</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or</w:t>
            </w:r>
          </w:p>
        </w:tc>
        <w:tc>
          <w:tcPr>
            <w:tcW w:w="22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rPr>
              <w:t>ssor</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4"/>
              </w:rPr>
              <w:t>ssor</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12"/>
              <w:spacing w:after="0"/>
              <w:rPr>
                <w:sz w:val="20"/>
                <w:szCs w:val="20"/>
                <w:color w:val="auto"/>
              </w:rPr>
            </w:pPr>
            <w:r>
              <w:rPr>
                <w:rFonts w:ascii="Arial" w:cs="Arial" w:eastAsia="Arial" w:hAnsi="Arial"/>
                <w:sz w:val="13"/>
                <w:szCs w:val="13"/>
                <w:b w:val="1"/>
                <w:bCs w:val="1"/>
                <w:color w:val="auto"/>
              </w:rPr>
              <w:t>ssor</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4"/>
              </w:rPr>
              <w:t>ssor</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4"/>
              </w:rPr>
              <w:t>ssor</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sor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8"/>
              </w:rPr>
              <w:t>Period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8"/>
              </w:rPr>
              <w:t>Period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3"/>
              </w:rPr>
              <w:t>Period</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8"/>
              </w:rPr>
              <w:t>Period</w:t>
            </w: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8"/>
              </w:rPr>
              <w:t>Period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from</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restart"/>
          </w:tcPr>
          <w:p>
            <w:pPr>
              <w:jc w:val="center"/>
              <w:ind w:right="260"/>
              <w:spacing w:after="0" w:line="142" w:lineRule="exact"/>
              <w:rPr>
                <w:sz w:val="20"/>
                <w:szCs w:val="20"/>
                <w:color w:val="auto"/>
              </w:rPr>
            </w:pPr>
            <w:r>
              <w:rPr>
                <w:rFonts w:ascii="Arial" w:cs="Arial" w:eastAsia="Arial" w:hAnsi="Arial"/>
                <w:sz w:val="13"/>
                <w:szCs w:val="13"/>
                <w:b w:val="1"/>
                <w:bCs w:val="1"/>
                <w:color w:val="auto"/>
                <w:w w:val="96"/>
              </w:rPr>
              <w:t>from</w:t>
            </w:r>
          </w:p>
        </w:tc>
        <w:tc>
          <w:tcPr>
            <w:tcW w:w="1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3"/>
              </w:rPr>
              <w:t>Period</w:t>
            </w:r>
          </w:p>
        </w:tc>
        <w:tc>
          <w:tcPr>
            <w:tcW w:w="120" w:type="dxa"/>
            <w:vAlign w:val="bottom"/>
          </w:tcPr>
          <w:p>
            <w:pPr>
              <w:spacing w:after="0"/>
              <w:rPr>
                <w:sz w:val="6"/>
                <w:szCs w:val="6"/>
                <w:color w:val="auto"/>
              </w:rPr>
            </w:pPr>
          </w:p>
        </w:tc>
        <w:tc>
          <w:tcPr>
            <w:tcW w:w="760" w:type="dxa"/>
            <w:vAlign w:val="bottom"/>
            <w:tcBorders>
              <w:right w:val="single" w:sz="8" w:color="auto"/>
            </w:tcBorders>
            <w:gridSpan w:val="2"/>
            <w:vMerge w:val="restart"/>
          </w:tcPr>
          <w:p>
            <w:pPr>
              <w:jc w:val="center"/>
              <w:ind w:right="280"/>
              <w:spacing w:after="0" w:line="142" w:lineRule="exact"/>
              <w:rPr>
                <w:sz w:val="20"/>
                <w:szCs w:val="20"/>
                <w:color w:val="auto"/>
              </w:rPr>
            </w:pPr>
            <w:r>
              <w:rPr>
                <w:rFonts w:ascii="Arial" w:cs="Arial" w:eastAsia="Arial" w:hAnsi="Arial"/>
                <w:sz w:val="13"/>
                <w:szCs w:val="13"/>
                <w:b w:val="1"/>
                <w:bCs w:val="1"/>
                <w:color w:val="auto"/>
                <w:w w:val="96"/>
              </w:rPr>
              <w:t>from</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vMerge w:val="restart"/>
          </w:tcPr>
          <w:p>
            <w:pPr>
              <w:jc w:val="center"/>
              <w:ind w:right="240"/>
              <w:spacing w:after="0" w:line="142" w:lineRule="exact"/>
              <w:rPr>
                <w:sz w:val="20"/>
                <w:szCs w:val="20"/>
                <w:color w:val="auto"/>
              </w:rPr>
            </w:pPr>
            <w:r>
              <w:rPr>
                <w:rFonts w:ascii="Arial" w:cs="Arial" w:eastAsia="Arial" w:hAnsi="Arial"/>
                <w:sz w:val="13"/>
                <w:szCs w:val="13"/>
                <w:b w:val="1"/>
                <w:bCs w:val="1"/>
                <w:color w:val="auto"/>
                <w:w w:val="96"/>
              </w:rPr>
              <w:t>from</w:t>
            </w:r>
          </w:p>
        </w:tc>
        <w:tc>
          <w:tcPr>
            <w:tcW w:w="100" w:type="dxa"/>
            <w:vAlign w:val="bottom"/>
          </w:tcPr>
          <w:p>
            <w:pPr>
              <w:spacing w:after="0"/>
              <w:rPr>
                <w:sz w:val="6"/>
                <w:szCs w:val="6"/>
                <w:color w:val="auto"/>
              </w:rPr>
            </w:pPr>
          </w:p>
        </w:tc>
        <w:tc>
          <w:tcPr>
            <w:tcW w:w="68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Three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right"/>
              <w:ind w:right="220"/>
              <w:spacing w:after="0" w:line="142" w:lineRule="exact"/>
              <w:rPr>
                <w:sz w:val="20"/>
                <w:szCs w:val="20"/>
                <w:color w:val="auto"/>
              </w:rPr>
            </w:pPr>
            <w:r>
              <w:rPr>
                <w:rFonts w:ascii="Arial" w:cs="Arial" w:eastAsia="Arial" w:hAnsi="Arial"/>
                <w:sz w:val="13"/>
                <w:szCs w:val="13"/>
                <w:b w:val="1"/>
                <w:bCs w:val="1"/>
                <w:color w:val="auto"/>
                <w:w w:val="95"/>
              </w:rPr>
              <w:t>Three</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3"/>
                <w:szCs w:val="13"/>
                <w:b w:val="1"/>
                <w:bCs w:val="1"/>
                <w:color w:val="auto"/>
                <w:w w:val="95"/>
              </w:rPr>
              <w:t>Three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20" w:type="dxa"/>
            <w:vAlign w:val="bottom"/>
            <w:gridSpan w:val="4"/>
            <w:vMerge w:val="restart"/>
          </w:tcPr>
          <w:p>
            <w:pPr>
              <w:jc w:val="center"/>
              <w:spacing w:after="0" w:line="142" w:lineRule="exact"/>
              <w:rPr>
                <w:sz w:val="20"/>
                <w:szCs w:val="20"/>
                <w:color w:val="auto"/>
              </w:rPr>
            </w:pPr>
            <w:r>
              <w:rPr>
                <w:rFonts w:ascii="Arial" w:cs="Arial" w:eastAsia="Arial" w:hAnsi="Arial"/>
                <w:sz w:val="13"/>
                <w:szCs w:val="13"/>
                <w:b w:val="1"/>
                <w:bCs w:val="1"/>
                <w:color w:val="auto"/>
                <w:w w:val="99"/>
              </w:rPr>
              <w:t>from July</w:t>
            </w: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right"/>
              <w:ind w:right="280"/>
              <w:spacing w:after="0" w:line="142" w:lineRule="exact"/>
              <w:rPr>
                <w:sz w:val="20"/>
                <w:szCs w:val="20"/>
                <w:color w:val="auto"/>
              </w:rPr>
            </w:pPr>
            <w:r>
              <w:rPr>
                <w:rFonts w:ascii="Arial" w:cs="Arial" w:eastAsia="Arial" w:hAnsi="Arial"/>
                <w:sz w:val="13"/>
                <w:szCs w:val="13"/>
                <w:b w:val="1"/>
                <w:bCs w:val="1"/>
                <w:color w:val="auto"/>
                <w:w w:val="99"/>
              </w:rPr>
              <w:t>Year</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3"/>
                <w:szCs w:val="13"/>
                <w:b w:val="1"/>
                <w:bCs w:val="1"/>
                <w:color w:val="auto"/>
                <w:w w:val="95"/>
              </w:rPr>
              <w:t>Three</w:t>
            </w:r>
          </w:p>
        </w:tc>
        <w:tc>
          <w:tcPr>
            <w:tcW w:w="120" w:type="dxa"/>
            <w:vAlign w:val="bottom"/>
          </w:tcPr>
          <w:p>
            <w:pPr>
              <w:spacing w:after="0"/>
              <w:rPr>
                <w:sz w:val="6"/>
                <w:szCs w:val="6"/>
                <w:color w:val="auto"/>
              </w:rPr>
            </w:pPr>
          </w:p>
        </w:tc>
        <w:tc>
          <w:tcPr>
            <w:tcW w:w="72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5"/>
              </w:rPr>
              <w:t>Three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January</w:t>
            </w:r>
          </w:p>
        </w:tc>
        <w:tc>
          <w:tcPr>
            <w:tcW w:w="120" w:type="dxa"/>
            <w:vAlign w:val="bottom"/>
          </w:tcPr>
          <w:p>
            <w:pPr>
              <w:spacing w:after="0"/>
              <w:rPr>
                <w:sz w:val="6"/>
                <w:szCs w:val="6"/>
                <w:color w:val="auto"/>
              </w:rPr>
            </w:pPr>
          </w:p>
        </w:tc>
        <w:tc>
          <w:tcPr>
            <w:tcW w:w="700" w:type="dxa"/>
            <w:vAlign w:val="bottom"/>
            <w:gridSpan w:val="3"/>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6"/>
              </w:rPr>
              <w:t>October</w:t>
            </w:r>
          </w:p>
        </w:tc>
        <w:tc>
          <w:tcPr>
            <w:tcW w:w="82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6"/>
              </w:rPr>
              <w:t>from</w:t>
            </w:r>
          </w:p>
        </w:tc>
        <w:tc>
          <w:tcPr>
            <w:tcW w:w="120" w:type="dxa"/>
            <w:vAlign w:val="bottom"/>
          </w:tcPr>
          <w:p>
            <w:pPr>
              <w:spacing w:after="0"/>
              <w:rPr>
                <w:sz w:val="6"/>
                <w:szCs w:val="6"/>
                <w:color w:val="auto"/>
              </w:rPr>
            </w:pPr>
          </w:p>
        </w:tc>
        <w:tc>
          <w:tcPr>
            <w:tcW w:w="760" w:type="dxa"/>
            <w:vAlign w:val="bottom"/>
            <w:tcBorders>
              <w:right w:val="single" w:sz="8" w:color="auto"/>
            </w:tcBorders>
            <w:gridSpan w:val="2"/>
            <w:vMerge w:val="restart"/>
          </w:tcPr>
          <w:p>
            <w:pPr>
              <w:jc w:val="center"/>
              <w:ind w:right="280"/>
              <w:spacing w:after="0" w:line="142" w:lineRule="exact"/>
              <w:rPr>
                <w:sz w:val="20"/>
                <w:szCs w:val="20"/>
                <w:color w:val="auto"/>
              </w:rPr>
            </w:pPr>
            <w:r>
              <w:rPr>
                <w:rFonts w:ascii="Arial" w:cs="Arial" w:eastAsia="Arial" w:hAnsi="Arial"/>
                <w:sz w:val="13"/>
                <w:szCs w:val="13"/>
                <w:b w:val="1"/>
                <w:bCs w:val="1"/>
                <w:color w:val="auto"/>
                <w:w w:val="96"/>
              </w:rPr>
              <w:t>January</w:t>
            </w:r>
          </w:p>
        </w:tc>
        <w:tc>
          <w:tcPr>
            <w:tcW w:w="120" w:type="dxa"/>
            <w:vAlign w:val="bottom"/>
          </w:tcPr>
          <w:p>
            <w:pPr>
              <w:spacing w:after="0"/>
              <w:rPr>
                <w:sz w:val="6"/>
                <w:szCs w:val="6"/>
                <w:color w:val="auto"/>
              </w:rPr>
            </w:pPr>
          </w:p>
        </w:tc>
        <w:tc>
          <w:tcPr>
            <w:tcW w:w="640" w:type="dxa"/>
            <w:vAlign w:val="bottom"/>
            <w:gridSpan w:val="3"/>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January</w:t>
            </w:r>
          </w:p>
        </w:tc>
        <w:tc>
          <w:tcPr>
            <w:tcW w:w="100" w:type="dxa"/>
            <w:vAlign w:val="bottom"/>
          </w:tcPr>
          <w:p>
            <w:pPr>
              <w:spacing w:after="0"/>
              <w:rPr>
                <w:sz w:val="6"/>
                <w:szCs w:val="6"/>
                <w:color w:val="auto"/>
              </w:rPr>
            </w:pPr>
          </w:p>
        </w:tc>
        <w:tc>
          <w:tcPr>
            <w:tcW w:w="68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Months</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vMerge w:val="restart"/>
          </w:tcPr>
          <w:p>
            <w:pPr>
              <w:jc w:val="right"/>
              <w:ind w:right="180"/>
              <w:spacing w:after="0" w:line="142" w:lineRule="exact"/>
              <w:rPr>
                <w:sz w:val="20"/>
                <w:szCs w:val="20"/>
                <w:color w:val="auto"/>
              </w:rPr>
            </w:pPr>
            <w:r>
              <w:rPr>
                <w:rFonts w:ascii="Arial" w:cs="Arial" w:eastAsia="Arial" w:hAnsi="Arial"/>
                <w:sz w:val="13"/>
                <w:szCs w:val="13"/>
                <w:b w:val="1"/>
                <w:bCs w:val="1"/>
                <w:color w:val="auto"/>
                <w:w w:val="99"/>
              </w:rPr>
              <w:t>Months</w:t>
            </w:r>
          </w:p>
        </w:tc>
        <w:tc>
          <w:tcPr>
            <w:tcW w:w="120" w:type="dxa"/>
            <w:vAlign w:val="bottom"/>
          </w:tcPr>
          <w:p>
            <w:pPr>
              <w:spacing w:after="0"/>
              <w:rPr>
                <w:sz w:val="6"/>
                <w:szCs w:val="6"/>
                <w:color w:val="auto"/>
              </w:rPr>
            </w:pPr>
          </w:p>
        </w:tc>
        <w:tc>
          <w:tcPr>
            <w:tcW w:w="660" w:type="dxa"/>
            <w:vAlign w:val="bottom"/>
            <w:gridSpan w:val="3"/>
            <w:vMerge w:val="restart"/>
          </w:tcPr>
          <w:p>
            <w:pPr>
              <w:jc w:val="right"/>
              <w:ind w:right="180"/>
              <w:spacing w:after="0" w:line="142" w:lineRule="exact"/>
              <w:rPr>
                <w:sz w:val="20"/>
                <w:szCs w:val="20"/>
                <w:color w:val="auto"/>
              </w:rPr>
            </w:pPr>
            <w:r>
              <w:rPr>
                <w:rFonts w:ascii="Arial" w:cs="Arial" w:eastAsia="Arial" w:hAnsi="Arial"/>
                <w:sz w:val="13"/>
                <w:szCs w:val="13"/>
                <w:b w:val="1"/>
                <w:bCs w:val="1"/>
                <w:color w:val="auto"/>
                <w:w w:val="99"/>
              </w:rPr>
              <w:t>Months</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restart"/>
          </w:tcPr>
          <w:p>
            <w:pPr>
              <w:jc w:val="center"/>
              <w:ind w:right="71"/>
              <w:spacing w:after="0" w:line="142" w:lineRule="exact"/>
              <w:rPr>
                <w:sz w:val="20"/>
                <w:szCs w:val="20"/>
                <w:color w:val="auto"/>
              </w:rPr>
            </w:pPr>
            <w:r>
              <w:rPr>
                <w:rFonts w:ascii="Arial" w:cs="Arial" w:eastAsia="Arial" w:hAnsi="Arial"/>
                <w:sz w:val="13"/>
                <w:szCs w:val="13"/>
                <w:b w:val="1"/>
                <w:bCs w:val="1"/>
                <w:color w:val="auto"/>
                <w:w w:val="82"/>
              </w:rPr>
              <w:t>1</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5"/>
              </w:rPr>
              <w:t>Ended</w:t>
            </w:r>
          </w:p>
        </w:tc>
        <w:tc>
          <w:tcPr>
            <w:tcW w:w="10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Months</w:t>
            </w:r>
          </w:p>
        </w:tc>
        <w:tc>
          <w:tcPr>
            <w:tcW w:w="120" w:type="dxa"/>
            <w:vAlign w:val="bottom"/>
          </w:tcPr>
          <w:p>
            <w:pPr>
              <w:spacing w:after="0"/>
              <w:rPr>
                <w:sz w:val="6"/>
                <w:szCs w:val="6"/>
                <w:color w:val="auto"/>
              </w:rPr>
            </w:pPr>
          </w:p>
        </w:tc>
        <w:tc>
          <w:tcPr>
            <w:tcW w:w="72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Months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60" w:type="dxa"/>
            <w:vAlign w:val="bottom"/>
            <w:gridSpan w:val="2"/>
            <w:vMerge w:val="restart"/>
          </w:tcPr>
          <w:p>
            <w:pPr>
              <w:jc w:val="center"/>
              <w:spacing w:after="0" w:line="142" w:lineRule="exact"/>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restart"/>
          </w:tcPr>
          <w:p>
            <w:pPr>
              <w:jc w:val="center"/>
              <w:ind w:right="92"/>
              <w:spacing w:after="0" w:line="142" w:lineRule="exact"/>
              <w:rPr>
                <w:sz w:val="20"/>
                <w:szCs w:val="20"/>
                <w:color w:val="auto"/>
              </w:rPr>
            </w:pPr>
            <w:r>
              <w:rPr>
                <w:rFonts w:ascii="Arial" w:cs="Arial" w:eastAsia="Arial" w:hAnsi="Arial"/>
                <w:sz w:val="13"/>
                <w:szCs w:val="13"/>
                <w:b w:val="1"/>
                <w:bCs w:val="1"/>
                <w:color w:val="auto"/>
                <w:w w:val="82"/>
              </w:rPr>
              <w:t>1</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3"/>
              </w:rPr>
              <w:t>April 1</w:t>
            </w:r>
          </w:p>
        </w:tc>
        <w:tc>
          <w:tcPr>
            <w:tcW w:w="660" w:type="dxa"/>
            <w:vAlign w:val="bottom"/>
            <w:gridSpan w:val="2"/>
            <w:vMerge w:val="restart"/>
          </w:tcPr>
          <w:p>
            <w:pPr>
              <w:ind w:left="300"/>
              <w:spacing w:after="0" w:line="142" w:lineRule="exact"/>
              <w:rPr>
                <w:sz w:val="20"/>
                <w:szCs w:val="20"/>
                <w:color w:val="auto"/>
              </w:rPr>
            </w:pPr>
            <w:r>
              <w:rPr>
                <w:rFonts w:ascii="Arial" w:cs="Arial" w:eastAsia="Arial" w:hAnsi="Arial"/>
                <w:sz w:val="13"/>
                <w:szCs w:val="13"/>
                <w:b w:val="1"/>
                <w:bCs w:val="1"/>
                <w:color w:val="auto"/>
              </w:rPr>
              <w:t>15</w:t>
            </w:r>
          </w:p>
        </w:tc>
        <w:tc>
          <w:tcPr>
            <w:tcW w:w="2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center"/>
              <w:ind w:right="72"/>
              <w:spacing w:after="0" w:line="142" w:lineRule="exact"/>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5"/>
              </w:rPr>
              <w:t>Ended</w:t>
            </w:r>
          </w:p>
        </w:tc>
        <w:tc>
          <w:tcPr>
            <w:tcW w:w="10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3"/>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8"/>
              </w:rPr>
              <w:t>Decemb</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5"/>
              </w:rPr>
              <w:t>Ended</w:t>
            </w:r>
          </w:p>
        </w:tc>
        <w:tc>
          <w:tcPr>
            <w:tcW w:w="120" w:type="dxa"/>
            <w:vAlign w:val="bottom"/>
          </w:tcPr>
          <w:p>
            <w:pPr>
              <w:spacing w:after="0"/>
              <w:rPr>
                <w:sz w:val="6"/>
                <w:szCs w:val="6"/>
                <w:color w:val="auto"/>
              </w:rPr>
            </w:pPr>
          </w:p>
        </w:tc>
        <w:tc>
          <w:tcPr>
            <w:tcW w:w="72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6"/>
                <w:szCs w:val="6"/>
                <w:color w:val="auto"/>
              </w:rPr>
            </w:pPr>
          </w:p>
        </w:tc>
        <w:tc>
          <w:tcPr>
            <w:tcW w:w="700" w:type="dxa"/>
            <w:vAlign w:val="bottom"/>
            <w:gridSpan w:val="3"/>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6"/>
                <w:szCs w:val="6"/>
                <w:color w:val="auto"/>
              </w:rPr>
            </w:pPr>
          </w:p>
        </w:tc>
        <w:tc>
          <w:tcPr>
            <w:tcW w:w="760" w:type="dxa"/>
            <w:vAlign w:val="bottom"/>
            <w:tcBorders>
              <w:right w:val="single" w:sz="8" w:color="auto"/>
            </w:tcBorders>
            <w:gridSpan w:val="2"/>
            <w:vMerge w:val="restart"/>
          </w:tcPr>
          <w:p>
            <w:pPr>
              <w:jc w:val="center"/>
              <w:ind w:right="280"/>
              <w:spacing w:after="0" w:line="142"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6"/>
                <w:szCs w:val="6"/>
                <w:color w:val="auto"/>
              </w:rPr>
            </w:pPr>
          </w:p>
        </w:tc>
        <w:tc>
          <w:tcPr>
            <w:tcW w:w="640" w:type="dxa"/>
            <w:vAlign w:val="bottom"/>
            <w:gridSpan w:val="3"/>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7"/>
              </w:rPr>
              <w:t>through</w:t>
            </w:r>
          </w:p>
        </w:tc>
        <w:tc>
          <w:tcPr>
            <w:tcW w:w="100" w:type="dxa"/>
            <w:vAlign w:val="bottom"/>
          </w:tcPr>
          <w:p>
            <w:pPr>
              <w:spacing w:after="0"/>
              <w:rPr>
                <w:sz w:val="6"/>
                <w:szCs w:val="6"/>
                <w:color w:val="auto"/>
              </w:rPr>
            </w:pPr>
          </w:p>
        </w:tc>
        <w:tc>
          <w:tcPr>
            <w:tcW w:w="68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3"/>
              </w:rPr>
              <w:t>March</w:t>
            </w:r>
          </w:p>
        </w:tc>
        <w:tc>
          <w:tcPr>
            <w:tcW w:w="10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94"/>
              </w:rPr>
              <w:t>Decemb</w:t>
            </w:r>
          </w:p>
        </w:tc>
        <w:tc>
          <w:tcPr>
            <w:tcW w:w="120" w:type="dxa"/>
            <w:vAlign w:val="bottom"/>
          </w:tcPr>
          <w:p>
            <w:pPr>
              <w:spacing w:after="0"/>
              <w:rPr>
                <w:sz w:val="6"/>
                <w:szCs w:val="6"/>
                <w:color w:val="auto"/>
              </w:rPr>
            </w:pPr>
          </w:p>
        </w:tc>
        <w:tc>
          <w:tcPr>
            <w:tcW w:w="660" w:type="dxa"/>
            <w:vAlign w:val="bottom"/>
            <w:gridSpan w:val="3"/>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8"/>
              </w:rPr>
              <w:t>Septemb</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3"/>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8"/>
              </w:rPr>
              <w:t>Septemb</w:t>
            </w: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9"/>
              </w:rPr>
              <w:t>er 31,</w:t>
            </w:r>
          </w:p>
        </w:tc>
        <w:tc>
          <w:tcPr>
            <w:tcW w:w="10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6"/>
              </w:rPr>
              <w:t>June 30,</w:t>
            </w:r>
          </w:p>
        </w:tc>
        <w:tc>
          <w:tcPr>
            <w:tcW w:w="120" w:type="dxa"/>
            <w:vAlign w:val="bottom"/>
          </w:tcPr>
          <w:p>
            <w:pPr>
              <w:spacing w:after="0"/>
              <w:rPr>
                <w:sz w:val="6"/>
                <w:szCs w:val="6"/>
                <w:color w:val="auto"/>
              </w:rPr>
            </w:pPr>
          </w:p>
        </w:tc>
        <w:tc>
          <w:tcPr>
            <w:tcW w:w="72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6"/>
              </w:rPr>
              <w:t>Decembe</w:t>
            </w:r>
          </w:p>
        </w:tc>
        <w:tc>
          <w:tcPr>
            <w:tcW w:w="120" w:type="dxa"/>
            <w:vAlign w:val="bottom"/>
          </w:tcPr>
          <w:p>
            <w:pPr>
              <w:spacing w:after="0"/>
              <w:rPr>
                <w:sz w:val="6"/>
                <w:szCs w:val="6"/>
                <w:color w:val="auto"/>
              </w:rPr>
            </w:pPr>
          </w:p>
        </w:tc>
        <w:tc>
          <w:tcPr>
            <w:tcW w:w="700" w:type="dxa"/>
            <w:vAlign w:val="bottom"/>
            <w:gridSpan w:val="3"/>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96"/>
              </w:rPr>
              <w:t>Decembe</w:t>
            </w:r>
          </w:p>
        </w:tc>
        <w:tc>
          <w:tcPr>
            <w:tcW w:w="1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6"/>
              </w:rPr>
              <w:t>June 30,</w:t>
            </w:r>
          </w:p>
        </w:tc>
        <w:tc>
          <w:tcPr>
            <w:tcW w:w="120" w:type="dxa"/>
            <w:vAlign w:val="bottom"/>
          </w:tcPr>
          <w:p>
            <w:pPr>
              <w:spacing w:after="0"/>
              <w:rPr>
                <w:sz w:val="6"/>
                <w:szCs w:val="6"/>
                <w:color w:val="auto"/>
              </w:rPr>
            </w:pPr>
          </w:p>
        </w:tc>
        <w:tc>
          <w:tcPr>
            <w:tcW w:w="760" w:type="dxa"/>
            <w:vAlign w:val="bottom"/>
            <w:tcBorders>
              <w:right w:val="single" w:sz="8" w:color="auto"/>
            </w:tcBorders>
            <w:gridSpan w:val="2"/>
            <w:vMerge w:val="restart"/>
          </w:tcPr>
          <w:p>
            <w:pPr>
              <w:jc w:val="center"/>
              <w:ind w:right="260"/>
              <w:spacing w:after="0" w:line="142" w:lineRule="exact"/>
              <w:rPr>
                <w:sz w:val="20"/>
                <w:szCs w:val="20"/>
                <w:color w:val="auto"/>
              </w:rPr>
            </w:pPr>
            <w:r>
              <w:rPr>
                <w:rFonts w:ascii="Arial" w:cs="Arial" w:eastAsia="Arial" w:hAnsi="Arial"/>
                <w:sz w:val="13"/>
                <w:szCs w:val="13"/>
                <w:b w:val="1"/>
                <w:bCs w:val="1"/>
                <w:color w:val="auto"/>
                <w:w w:val="99"/>
              </w:rPr>
              <w:t>March</w:t>
            </w:r>
          </w:p>
        </w:tc>
        <w:tc>
          <w:tcPr>
            <w:tcW w:w="120" w:type="dxa"/>
            <w:vAlign w:val="bottom"/>
          </w:tcPr>
          <w:p>
            <w:pPr>
              <w:spacing w:after="0"/>
              <w:rPr>
                <w:sz w:val="6"/>
                <w:szCs w:val="6"/>
                <w:color w:val="auto"/>
              </w:rPr>
            </w:pPr>
          </w:p>
        </w:tc>
        <w:tc>
          <w:tcPr>
            <w:tcW w:w="640" w:type="dxa"/>
            <w:vAlign w:val="bottom"/>
            <w:gridSpan w:val="3"/>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January</w:t>
            </w:r>
          </w:p>
        </w:tc>
        <w:tc>
          <w:tcPr>
            <w:tcW w:w="660" w:type="dxa"/>
            <w:vAlign w:val="bottom"/>
            <w:gridSpan w:val="2"/>
            <w:vMerge w:val="restart"/>
          </w:tcPr>
          <w:p>
            <w:pPr>
              <w:jc w:val="right"/>
              <w:ind w:right="136"/>
              <w:spacing w:after="0" w:line="142"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4"/>
              </w:rPr>
              <w:t>er 31,</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9"/>
              </w:rPr>
              <w:t>er 30,</w:t>
            </w:r>
          </w:p>
        </w:tc>
        <w:tc>
          <w:tcPr>
            <w:tcW w:w="10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9"/>
              </w:rPr>
              <w:t>er 30,</w:t>
            </w: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r 31,</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restart"/>
          </w:tcPr>
          <w:p>
            <w:pPr>
              <w:jc w:val="center"/>
              <w:ind w:right="52"/>
              <w:spacing w:after="0"/>
              <w:rPr>
                <w:sz w:val="20"/>
                <w:szCs w:val="20"/>
                <w:color w:val="auto"/>
              </w:rPr>
            </w:pPr>
            <w:r>
              <w:rPr>
                <w:rFonts w:ascii="Arial" w:cs="Arial" w:eastAsia="Arial" w:hAnsi="Arial"/>
                <w:sz w:val="13"/>
                <w:szCs w:val="13"/>
                <w:b w:val="1"/>
                <w:bCs w:val="1"/>
                <w:color w:val="auto"/>
                <w:w w:val="97"/>
              </w:rPr>
              <w:t>r 31,</w:t>
            </w:r>
          </w:p>
        </w:tc>
        <w:tc>
          <w:tcPr>
            <w:tcW w:w="1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restart"/>
          </w:tcPr>
          <w:p>
            <w:pPr>
              <w:jc w:val="right"/>
              <w:ind w:right="132"/>
              <w:spacing w:after="0"/>
              <w:rPr>
                <w:sz w:val="20"/>
                <w:szCs w:val="20"/>
                <w:color w:val="auto"/>
              </w:rPr>
            </w:pPr>
            <w:r>
              <w:rPr>
                <w:rFonts w:ascii="Arial" w:cs="Arial" w:eastAsia="Arial" w:hAnsi="Arial"/>
                <w:sz w:val="13"/>
                <w:szCs w:val="13"/>
                <w:b w:val="1"/>
                <w:bCs w:val="1"/>
                <w:color w:val="auto"/>
              </w:rPr>
              <w:t>14,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gridSpan w:val="2"/>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center"/>
              <w:ind w:right="32"/>
              <w:spacing w:after="0"/>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51"/>
              <w:spacing w:after="0"/>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5"/>
                <w:szCs w:val="15"/>
                <w:color w:val="auto"/>
              </w:rPr>
            </w:pPr>
          </w:p>
        </w:tc>
        <w:tc>
          <w:tcPr>
            <w:tcW w:w="700" w:type="dxa"/>
            <w:vAlign w:val="bottom"/>
            <w:gridSpan w:val="2"/>
          </w:tcPr>
          <w:p>
            <w:pPr>
              <w:jc w:val="center"/>
              <w:ind w:left="30"/>
              <w:spacing w:after="0"/>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5"/>
                <w:szCs w:val="15"/>
                <w:color w:val="auto"/>
              </w:rPr>
            </w:pPr>
          </w:p>
        </w:tc>
        <w:tc>
          <w:tcPr>
            <w:tcW w:w="660" w:type="dxa"/>
            <w:vAlign w:val="bottom"/>
            <w:gridSpan w:val="2"/>
          </w:tcPr>
          <w:p>
            <w:pPr>
              <w:jc w:val="center"/>
              <w:ind w:left="31"/>
              <w:spacing w:after="0"/>
              <w:rPr>
                <w:sz w:val="20"/>
                <w:szCs w:val="20"/>
                <w:color w:val="auto"/>
              </w:rPr>
            </w:pPr>
            <w:r>
              <w:rPr>
                <w:rFonts w:ascii="Arial" w:cs="Arial" w:eastAsia="Arial" w:hAnsi="Arial"/>
                <w:sz w:val="13"/>
                <w:szCs w:val="13"/>
                <w:b w:val="1"/>
                <w:bCs w:val="1"/>
                <w:color w:val="auto"/>
                <w:w w:val="96"/>
              </w:rPr>
              <w:t>2025</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66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52"/>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12"/>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52"/>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11"/>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5"/>
                <w:szCs w:val="15"/>
                <w:color w:val="auto"/>
              </w:rPr>
            </w:pPr>
          </w:p>
        </w:tc>
        <w:tc>
          <w:tcPr>
            <w:tcW w:w="720" w:type="dxa"/>
            <w:vAlign w:val="bottom"/>
            <w:gridSpan w:val="2"/>
          </w:tcPr>
          <w:p>
            <w:pPr>
              <w:jc w:val="center"/>
              <w:ind w:left="50"/>
              <w:spacing w:after="0"/>
              <w:rPr>
                <w:sz w:val="20"/>
                <w:szCs w:val="20"/>
                <w:color w:val="auto"/>
              </w:rPr>
            </w:pPr>
            <w:r>
              <w:rPr>
                <w:rFonts w:ascii="Arial" w:cs="Arial" w:eastAsia="Arial" w:hAnsi="Arial"/>
                <w:sz w:val="13"/>
                <w:szCs w:val="13"/>
                <w:b w:val="1"/>
                <w:bCs w:val="1"/>
                <w:color w:val="auto"/>
                <w:w w:val="96"/>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17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Net income (loss) from</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(11,52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(27,14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45,09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(138,2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(36,71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(37,74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(19,10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shd w:val="clear" w:color="auto" w:fill="CFF0FC"/>
          </w:tcPr>
          <w:p>
            <w:pPr>
              <w:spacing w:after="0"/>
              <w:rPr>
                <w:sz w:val="20"/>
                <w:szCs w:val="20"/>
                <w:color w:val="auto"/>
              </w:rPr>
            </w:pPr>
            <w:r>
              <w:rPr>
                <w:rFonts w:ascii="Arial" w:cs="Arial" w:eastAsia="Arial" w:hAnsi="Arial"/>
                <w:sz w:val="14"/>
                <w:szCs w:val="14"/>
                <w:color w:val="auto"/>
              </w:rPr>
              <w:t>continuing operations</w:t>
            </w:r>
          </w:p>
        </w:tc>
        <w:tc>
          <w:tcPr>
            <w:tcW w:w="7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 (8,956)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w:t>
            </w: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 (8,932)</w:t>
            </w:r>
          </w:p>
        </w:tc>
        <w:tc>
          <w:tcPr>
            <w:tcW w:w="880" w:type="dxa"/>
            <w:vAlign w:val="bottom"/>
            <w:tcBorders>
              <w:right w:val="single" w:sz="8" w:color="auto"/>
            </w:tcBorders>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(6,450)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$ 38,640</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 (44,676)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line="153" w:lineRule="exact"/>
              <w:rPr>
                <w:sz w:val="20"/>
                <w:szCs w:val="20"/>
                <w:color w:val="auto"/>
              </w:rPr>
            </w:pPr>
            <w:r>
              <w:rPr>
                <w:rFonts w:ascii="Arial" w:cs="Arial" w:eastAsia="Arial" w:hAnsi="Arial"/>
                <w:sz w:val="14"/>
                <w:szCs w:val="14"/>
                <w:color w:val="auto"/>
              </w:rPr>
              <w:t>Stock compensation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72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5,326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1,836</w:t>
            </w:r>
          </w:p>
        </w:tc>
        <w:tc>
          <w:tcPr>
            <w:tcW w:w="1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491</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00" w:type="dxa"/>
            <w:vAlign w:val="bottom"/>
            <w:shd w:val="clear" w:color="auto" w:fill="CFF0FC"/>
          </w:tcPr>
          <w:p>
            <w:pPr>
              <w:spacing w:after="0"/>
              <w:rPr>
                <w:sz w:val="20"/>
                <w:szCs w:val="20"/>
                <w:color w:val="auto"/>
              </w:rPr>
            </w:pPr>
            <w:r>
              <w:rPr>
                <w:rFonts w:ascii="Arial" w:cs="Arial" w:eastAsia="Arial" w:hAnsi="Arial"/>
                <w:sz w:val="14"/>
                <w:szCs w:val="14"/>
                <w:color w:val="auto"/>
              </w:rPr>
              <w:t>Severance expense</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1,685</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line="153" w:lineRule="exact"/>
              <w:rPr>
                <w:sz w:val="20"/>
                <w:szCs w:val="20"/>
                <w:color w:val="auto"/>
              </w:rPr>
            </w:pPr>
            <w:r>
              <w:rPr>
                <w:rFonts w:ascii="Arial" w:cs="Arial" w:eastAsia="Arial" w:hAnsi="Arial"/>
                <w:sz w:val="14"/>
                <w:szCs w:val="14"/>
                <w:color w:val="auto"/>
              </w:rPr>
              <w:t>Bankruptcy costs</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720" w:type="dxa"/>
            <w:vAlign w:val="bottom"/>
            <w:gridSpan w:val="2"/>
          </w:tcPr>
          <w:p>
            <w:pPr>
              <w:spacing w:after="0"/>
              <w:rPr>
                <w:sz w:val="20"/>
                <w:szCs w:val="20"/>
                <w:color w:val="auto"/>
              </w:rPr>
            </w:pPr>
            <w:r>
              <w:rPr>
                <w:rFonts w:ascii="Arial" w:cs="Arial" w:eastAsia="Arial" w:hAnsi="Arial"/>
                <w:sz w:val="14"/>
                <w:szCs w:val="14"/>
                <w:color w:val="auto"/>
              </w:rPr>
              <w:t>(prepetition filing and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20" w:type="dxa"/>
            <w:vAlign w:val="bottom"/>
            <w:gridSpan w:val="2"/>
          </w:tcPr>
          <w:p>
            <w:pPr>
              <w:spacing w:after="0"/>
              <w:rPr>
                <w:sz w:val="20"/>
                <w:szCs w:val="20"/>
                <w:color w:val="auto"/>
              </w:rPr>
            </w:pPr>
            <w:r>
              <w:rPr>
                <w:rFonts w:ascii="Arial" w:cs="Arial" w:eastAsia="Arial" w:hAnsi="Arial"/>
                <w:sz w:val="14"/>
                <w:szCs w:val="14"/>
                <w:color w:val="auto"/>
              </w:rPr>
              <w:t>post-emergence)</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913</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(51,03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(51,03</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(51,03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shd w:val="clear" w:color="auto" w:fill="CFF0FC"/>
          </w:tcPr>
          <w:p>
            <w:pPr>
              <w:spacing w:after="0"/>
              <w:rPr>
                <w:sz w:val="20"/>
                <w:szCs w:val="20"/>
                <w:color w:val="auto"/>
              </w:rPr>
            </w:pPr>
            <w:r>
              <w:rPr>
                <w:rFonts w:ascii="Arial" w:cs="Arial" w:eastAsia="Arial" w:hAnsi="Arial"/>
                <w:sz w:val="14"/>
                <w:szCs w:val="14"/>
                <w:color w:val="auto"/>
              </w:rPr>
              <w:t>Reorganization items, net</w:t>
            </w:r>
          </w:p>
        </w:tc>
        <w:tc>
          <w:tcPr>
            <w:tcW w:w="7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w:t>
            </w:r>
          </w:p>
        </w:tc>
        <w:tc>
          <w:tcPr>
            <w:tcW w:w="78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line="153" w:lineRule="exact"/>
              <w:rPr>
                <w:sz w:val="20"/>
                <w:szCs w:val="20"/>
                <w:color w:val="auto"/>
              </w:rPr>
            </w:pPr>
            <w:r>
              <w:rPr>
                <w:rFonts w:ascii="Arial" w:cs="Arial" w:eastAsia="Arial" w:hAnsi="Arial"/>
                <w:sz w:val="14"/>
                <w:szCs w:val="14"/>
                <w:color w:val="auto"/>
              </w:rPr>
              <w:t>Gain on extinguishment of</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720" w:type="dxa"/>
            <w:vAlign w:val="bottom"/>
            <w:gridSpan w:val="2"/>
          </w:tcPr>
          <w:p>
            <w:pPr>
              <w:spacing w:after="0"/>
              <w:rPr>
                <w:sz w:val="20"/>
                <w:szCs w:val="20"/>
                <w:color w:val="auto"/>
              </w:rPr>
            </w:pPr>
            <w:r>
              <w:rPr>
                <w:rFonts w:ascii="Arial" w:cs="Arial" w:eastAsia="Arial" w:hAnsi="Arial"/>
                <w:sz w:val="14"/>
                <w:szCs w:val="14"/>
                <w:color w:val="auto"/>
              </w:rPr>
              <w:t>debt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Impairment charges</w:t>
            </w:r>
          </w:p>
        </w:tc>
        <w:tc>
          <w:tcPr>
            <w:tcW w:w="8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220" w:type="dxa"/>
            <w:vAlign w:val="bottom"/>
            <w:tcBorders>
              <w:bottom w:val="single" w:sz="8" w:color="CFF0FC"/>
              <w:right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5,159</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2,407</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2,752</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(49,20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(10,11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(25,69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(115,2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(26,34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(33,33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(14,97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20" w:type="dxa"/>
            <w:vAlign w:val="bottom"/>
            <w:gridSpan w:val="2"/>
          </w:tcPr>
          <w:p>
            <w:pPr>
              <w:spacing w:after="0" w:line="158" w:lineRule="exact"/>
              <w:rPr>
                <w:sz w:val="20"/>
                <w:szCs w:val="20"/>
                <w:color w:val="auto"/>
              </w:rPr>
            </w:pPr>
            <w:r>
              <w:rPr>
                <w:rFonts w:ascii="Arial" w:cs="Arial" w:eastAsia="Arial" w:hAnsi="Arial"/>
                <w:sz w:val="14"/>
                <w:szCs w:val="14"/>
                <w:color w:val="auto"/>
              </w:rPr>
              <w:t>Adjusted Net Loss</w:t>
            </w:r>
          </w:p>
        </w:tc>
        <w:tc>
          <w:tcPr>
            <w:tcW w:w="7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8)</w:t>
            </w:r>
          </w:p>
        </w:tc>
        <w:tc>
          <w:tcPr>
            <w:tcW w:w="820" w:type="dxa"/>
            <w:vAlign w:val="bottom"/>
            <w:gridSpan w:val="3"/>
          </w:tcPr>
          <w:p>
            <w:pPr>
              <w:jc w:val="right"/>
              <w:ind w:right="80"/>
              <w:spacing w:after="0" w:line="158" w:lineRule="exact"/>
              <w:rPr>
                <w:sz w:val="20"/>
                <w:szCs w:val="20"/>
                <w:color w:val="auto"/>
              </w:rPr>
            </w:pPr>
            <w:r>
              <w:rPr>
                <w:rFonts w:ascii="Arial" w:cs="Arial" w:eastAsia="Arial" w:hAnsi="Arial"/>
                <w:sz w:val="14"/>
                <w:szCs w:val="14"/>
                <w:color w:val="auto"/>
              </w:rPr>
              <w:t>(6,729)</w:t>
            </w:r>
          </w:p>
        </w:tc>
        <w:tc>
          <w:tcPr>
            <w:tcW w:w="880" w:type="dxa"/>
            <w:vAlign w:val="bottom"/>
            <w:tcBorders>
              <w:right w:val="single" w:sz="8" w:color="auto"/>
            </w:tcBorders>
            <w:gridSpan w:val="3"/>
          </w:tcPr>
          <w:p>
            <w:pPr>
              <w:jc w:val="right"/>
              <w:ind w:right="180"/>
              <w:spacing w:after="0" w:line="158" w:lineRule="exact"/>
              <w:rPr>
                <w:sz w:val="20"/>
                <w:szCs w:val="20"/>
                <w:color w:val="auto"/>
              </w:rPr>
            </w:pPr>
            <w:r>
              <w:rPr>
                <w:rFonts w:ascii="Arial" w:cs="Arial" w:eastAsia="Arial" w:hAnsi="Arial"/>
                <w:sz w:val="14"/>
                <w:szCs w:val="14"/>
                <w:color w:val="auto"/>
              </w:rPr>
              <w:t>(869)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(5,798)</w:t>
            </w:r>
          </w:p>
        </w:tc>
        <w:tc>
          <w:tcPr>
            <w:tcW w:w="78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(6,667)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w:t>
            </w:r>
          </w:p>
        </w:tc>
        <w:tc>
          <w:tcPr>
            <w:tcW w:w="84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(40,600)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1696720</wp:posOffset>
            </wp:positionH>
            <wp:positionV relativeFrom="page">
              <wp:posOffset>669290</wp:posOffset>
            </wp:positionV>
            <wp:extent cx="100330" cy="400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0330" cy="400685"/>
                    </a:xfrm>
                    <a:prstGeom prst="rect">
                      <a:avLst/>
                    </a:prstGeom>
                    <a:noFill/>
                  </pic:spPr>
                </pic:pic>
              </a:graphicData>
            </a:graphic>
          </wp:anchor>
        </w:drawing>
        <w:drawing>
          <wp:anchor simplePos="0" relativeHeight="251657728" behindDoc="1" locked="0" layoutInCell="0" allowOverlap="1">
            <wp:simplePos x="0" y="0"/>
            <wp:positionH relativeFrom="page">
              <wp:posOffset>2214880</wp:posOffset>
            </wp:positionH>
            <wp:positionV relativeFrom="page">
              <wp:posOffset>669290</wp:posOffset>
            </wp:positionV>
            <wp:extent cx="100330" cy="400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0330" cy="400685"/>
                    </a:xfrm>
                    <a:prstGeom prst="rect">
                      <a:avLst/>
                    </a:prstGeom>
                    <a:noFill/>
                  </pic:spPr>
                </pic:pic>
              </a:graphicData>
            </a:graphic>
          </wp:anchor>
        </w:drawing>
        <w:drawing>
          <wp:anchor simplePos="0" relativeHeight="251657728" behindDoc="1" locked="0" layoutInCell="0" allowOverlap="1">
            <wp:simplePos x="0" y="0"/>
            <wp:positionH relativeFrom="page">
              <wp:posOffset>2733040</wp:posOffset>
            </wp:positionH>
            <wp:positionV relativeFrom="page">
              <wp:posOffset>669290</wp:posOffset>
            </wp:positionV>
            <wp:extent cx="100330" cy="4006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0330" cy="400685"/>
                    </a:xfrm>
                    <a:prstGeom prst="rect">
                      <a:avLst/>
                    </a:prstGeom>
                    <a:noFill/>
                  </pic:spPr>
                </pic:pic>
              </a:graphicData>
            </a:graphic>
          </wp:anchor>
        </w:drawing>
        <w:drawing>
          <wp:anchor simplePos="0" relativeHeight="251657728" behindDoc="1" locked="0" layoutInCell="0" allowOverlap="1">
            <wp:simplePos x="0" y="0"/>
            <wp:positionH relativeFrom="page">
              <wp:posOffset>3251200</wp:posOffset>
            </wp:positionH>
            <wp:positionV relativeFrom="page">
              <wp:posOffset>669290</wp:posOffset>
            </wp:positionV>
            <wp:extent cx="100330" cy="400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0330" cy="400685"/>
                    </a:xfrm>
                    <a:prstGeom prst="rect">
                      <a:avLst/>
                    </a:prstGeom>
                    <a:noFill/>
                  </pic:spPr>
                </pic:pic>
              </a:graphicData>
            </a:graphic>
          </wp:anchor>
        </w:drawing>
        <w:drawing>
          <wp:anchor simplePos="0" relativeHeight="251657728" behindDoc="1" locked="0" layoutInCell="0" allowOverlap="1">
            <wp:simplePos x="0" y="0"/>
            <wp:positionH relativeFrom="page">
              <wp:posOffset>3746500</wp:posOffset>
            </wp:positionH>
            <wp:positionV relativeFrom="page">
              <wp:posOffset>669290</wp:posOffset>
            </wp:positionV>
            <wp:extent cx="92710" cy="4006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2710" cy="400685"/>
                    </a:xfrm>
                    <a:prstGeom prst="rect">
                      <a:avLst/>
                    </a:prstGeom>
                    <a:noFill/>
                  </pic:spPr>
                </pic:pic>
              </a:graphicData>
            </a:graphic>
          </wp:anchor>
        </w:drawing>
        <w:drawing>
          <wp:anchor simplePos="0" relativeHeight="251657728" behindDoc="1" locked="0" layoutInCell="0" allowOverlap="1">
            <wp:simplePos x="0" y="0"/>
            <wp:positionH relativeFrom="page">
              <wp:posOffset>4302760</wp:posOffset>
            </wp:positionH>
            <wp:positionV relativeFrom="page">
              <wp:posOffset>669290</wp:posOffset>
            </wp:positionV>
            <wp:extent cx="92710" cy="400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2710" cy="400685"/>
                    </a:xfrm>
                    <a:prstGeom prst="rect">
                      <a:avLst/>
                    </a:prstGeom>
                    <a:noFill/>
                  </pic:spPr>
                </pic:pic>
              </a:graphicData>
            </a:graphic>
          </wp:anchor>
        </w:drawing>
        <w:drawing>
          <wp:anchor simplePos="0" relativeHeight="251657728" behindDoc="1" locked="0" layoutInCell="0" allowOverlap="1">
            <wp:simplePos x="0" y="0"/>
            <wp:positionH relativeFrom="page">
              <wp:posOffset>4790440</wp:posOffset>
            </wp:positionH>
            <wp:positionV relativeFrom="page">
              <wp:posOffset>669290</wp:posOffset>
            </wp:positionV>
            <wp:extent cx="92710" cy="400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2710" cy="400685"/>
                    </a:xfrm>
                    <a:prstGeom prst="rect">
                      <a:avLst/>
                    </a:prstGeom>
                    <a:noFill/>
                  </pic:spPr>
                </pic:pic>
              </a:graphicData>
            </a:graphic>
          </wp:anchor>
        </w:drawing>
        <w:drawing>
          <wp:anchor simplePos="0" relativeHeight="251657728" behindDoc="1" locked="0" layoutInCell="0" allowOverlap="1">
            <wp:simplePos x="0" y="0"/>
            <wp:positionH relativeFrom="page">
              <wp:posOffset>5278755</wp:posOffset>
            </wp:positionH>
            <wp:positionV relativeFrom="page">
              <wp:posOffset>669290</wp:posOffset>
            </wp:positionV>
            <wp:extent cx="92710" cy="4006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2710" cy="400685"/>
                    </a:xfrm>
                    <a:prstGeom prst="rect">
                      <a:avLst/>
                    </a:prstGeom>
                    <a:noFill/>
                  </pic:spPr>
                </pic:pic>
              </a:graphicData>
            </a:graphic>
          </wp:anchor>
        </w:drawing>
        <w:drawing>
          <wp:anchor simplePos="0" relativeHeight="251657728" behindDoc="1" locked="0" layoutInCell="0" allowOverlap="1">
            <wp:simplePos x="0" y="0"/>
            <wp:positionH relativeFrom="page">
              <wp:posOffset>5767070</wp:posOffset>
            </wp:positionH>
            <wp:positionV relativeFrom="page">
              <wp:posOffset>669290</wp:posOffset>
            </wp:positionV>
            <wp:extent cx="92710" cy="400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2710" cy="400685"/>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669290</wp:posOffset>
            </wp:positionV>
            <wp:extent cx="92710" cy="4006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2710" cy="400685"/>
                    </a:xfrm>
                    <a:prstGeom prst="rect">
                      <a:avLst/>
                    </a:prstGeom>
                    <a:noFill/>
                  </pic:spPr>
                </pic:pic>
              </a:graphicData>
            </a:graphic>
          </wp:anchor>
        </w:drawing>
        <w:drawing>
          <wp:anchor simplePos="0" relativeHeight="251657728" behindDoc="1" locked="0" layoutInCell="0" allowOverlap="1">
            <wp:simplePos x="0" y="0"/>
            <wp:positionH relativeFrom="page">
              <wp:posOffset>6743065</wp:posOffset>
            </wp:positionH>
            <wp:positionV relativeFrom="page">
              <wp:posOffset>669290</wp:posOffset>
            </wp:positionV>
            <wp:extent cx="92710" cy="400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2710" cy="400685"/>
                    </a:xfrm>
                    <a:prstGeom prst="rect">
                      <a:avLst/>
                    </a:prstGeom>
                    <a:noFill/>
                  </pic:spPr>
                </pic:pic>
              </a:graphicData>
            </a:graphic>
          </wp:anchor>
        </w:drawing>
        <w:drawing>
          <wp:anchor simplePos="0" relativeHeight="251657728" behindDoc="1" locked="0" layoutInCell="0" allowOverlap="1">
            <wp:simplePos x="0" y="0"/>
            <wp:positionH relativeFrom="page">
              <wp:posOffset>7268845</wp:posOffset>
            </wp:positionH>
            <wp:positionV relativeFrom="page">
              <wp:posOffset>669290</wp:posOffset>
            </wp:positionV>
            <wp:extent cx="92710" cy="4006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2710" cy="40068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-239395</wp:posOffset>
            </wp:positionV>
            <wp:extent cx="7493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-239395</wp:posOffset>
            </wp:positionV>
            <wp:extent cx="7493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-239395</wp:posOffset>
            </wp:positionV>
            <wp:extent cx="7493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-239395</wp:posOffset>
            </wp:positionV>
            <wp:extent cx="7493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-239395</wp:posOffset>
            </wp:positionV>
            <wp:extent cx="6731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-239395</wp:posOffset>
            </wp:positionV>
            <wp:extent cx="673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-239395</wp:posOffset>
            </wp:positionV>
            <wp:extent cx="6731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-239395</wp:posOffset>
            </wp:positionV>
            <wp:extent cx="6731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-239395</wp:posOffset>
            </wp:positionV>
            <wp:extent cx="673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-239395</wp:posOffset>
            </wp:positionV>
            <wp:extent cx="6731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6552565</wp:posOffset>
            </wp:positionH>
            <wp:positionV relativeFrom="paragraph">
              <wp:posOffset>-239395</wp:posOffset>
            </wp:positionV>
            <wp:extent cx="6731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-239395</wp:posOffset>
            </wp:positionV>
            <wp:extent cx="6731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4" w:right="319" w:bottom="1440" w:gutter="0" w:footer="0" w:header="0"/>
        </w:sectPr>
      </w:pPr>
    </w:p>
    <w:bookmarkStart w:id="15" w:name="page16"/>
    <w:bookmarkEnd w:id="15"/>
    <w:p>
      <w:pPr>
        <w:ind w:left="5"/>
        <w:spacing w:after="0"/>
        <w:rPr>
          <w:sz w:val="20"/>
          <w:szCs w:val="20"/>
          <w:color w:val="auto"/>
        </w:rPr>
      </w:pPr>
      <w:r>
        <w:rPr>
          <w:rFonts w:ascii="Arial" w:cs="Arial" w:eastAsia="Arial" w:hAnsi="Arial"/>
          <w:sz w:val="16"/>
          <w:szCs w:val="16"/>
          <w:b w:val="1"/>
          <w:bCs w:val="1"/>
          <w:color w:val="auto"/>
        </w:rPr>
        <w:t>Financial Outlook</w:t>
      </w:r>
    </w:p>
    <w:p>
      <w:pPr>
        <w:spacing w:after="0" w:line="173" w:lineRule="exact"/>
        <w:rPr>
          <w:sz w:val="20"/>
          <w:szCs w:val="20"/>
          <w:color w:val="auto"/>
        </w:rPr>
      </w:pPr>
    </w:p>
    <w:p>
      <w:pPr>
        <w:ind w:left="5"/>
        <w:spacing w:after="0"/>
        <w:rPr>
          <w:sz w:val="20"/>
          <w:szCs w:val="20"/>
          <w:color w:val="auto"/>
        </w:rPr>
      </w:pPr>
      <w:r>
        <w:rPr>
          <w:rFonts w:ascii="Arial" w:cs="Arial" w:eastAsia="Arial" w:hAnsi="Arial"/>
          <w:sz w:val="16"/>
          <w:szCs w:val="16"/>
          <w:color w:val="auto"/>
        </w:rPr>
        <w:t>For the full year 2026 we expect the following results:</w:t>
      </w:r>
    </w:p>
    <w:p>
      <w:pPr>
        <w:spacing w:after="0" w:line="156" w:lineRule="exact"/>
        <w:rPr>
          <w:sz w:val="20"/>
          <w:szCs w:val="20"/>
          <w:color w:val="auto"/>
        </w:rPr>
      </w:pPr>
    </w:p>
    <w:p>
      <w:pPr>
        <w:ind w:left="745" w:hanging="370"/>
        <w:spacing w:after="0"/>
        <w:tabs>
          <w:tab w:leader="none" w:pos="745" w:val="left"/>
        </w:tabs>
        <w:numPr>
          <w:ilvl w:val="1"/>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Indirect origination volume</w:t>
      </w:r>
      <w:r>
        <w:rPr>
          <w:rFonts w:ascii="Arial" w:cs="Arial" w:eastAsia="Arial" w:hAnsi="Arial"/>
          <w:sz w:val="21"/>
          <w:szCs w:val="21"/>
          <w:color w:val="auto"/>
          <w:vertAlign w:val="superscript"/>
        </w:rPr>
        <w:t>(5)</w:t>
      </w:r>
      <w:r>
        <w:rPr>
          <w:rFonts w:ascii="Arial" w:cs="Arial" w:eastAsia="Arial" w:hAnsi="Arial"/>
          <w:sz w:val="16"/>
          <w:szCs w:val="16"/>
          <w:color w:val="auto"/>
        </w:rPr>
        <w:t>: $475 - $515 million</w:t>
      </w:r>
    </w:p>
    <w:p>
      <w:pPr>
        <w:ind w:left="745" w:hanging="370"/>
        <w:spacing w:after="0"/>
        <w:tabs>
          <w:tab w:leader="none" w:pos="745" w:val="left"/>
        </w:tabs>
        <w:numPr>
          <w:ilvl w:val="1"/>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Adjusted net income (loss)</w:t>
      </w:r>
      <w:r>
        <w:rPr>
          <w:rFonts w:ascii="Arial" w:cs="Arial" w:eastAsia="Arial" w:hAnsi="Arial"/>
          <w:sz w:val="21"/>
          <w:szCs w:val="21"/>
          <w:color w:val="auto"/>
          <w:vertAlign w:val="superscript"/>
        </w:rPr>
        <w:t>(2)(4)</w:t>
      </w:r>
      <w:r>
        <w:rPr>
          <w:rFonts w:ascii="Arial" w:cs="Arial" w:eastAsia="Arial" w:hAnsi="Arial"/>
          <w:sz w:val="16"/>
          <w:szCs w:val="16"/>
          <w:color w:val="auto"/>
        </w:rPr>
        <w:t>: ($20) - ($25) million</w:t>
      </w:r>
    </w:p>
    <w:p>
      <w:pPr>
        <w:spacing w:after="0" w:line="141" w:lineRule="exact"/>
        <w:rPr>
          <w:rFonts w:ascii="Times New Roman" w:cs="Times New Roman" w:eastAsia="Times New Roman" w:hAnsi="Times New Roman"/>
          <w:sz w:val="16"/>
          <w:szCs w:val="16"/>
          <w:color w:val="auto"/>
        </w:rPr>
      </w:pPr>
    </w:p>
    <w:p>
      <w:pPr>
        <w:ind w:left="5" w:right="160" w:hanging="5"/>
        <w:spacing w:after="0" w:line="234" w:lineRule="auto"/>
        <w:tabs>
          <w:tab w:leader="none" w:pos="194" w:val="left"/>
        </w:tabs>
        <w:numPr>
          <w:ilvl w:val="0"/>
          <w:numId w:val="4"/>
        </w:numPr>
        <w:rPr>
          <w:rFonts w:ascii="Arial" w:cs="Arial" w:eastAsia="Arial" w:hAnsi="Arial"/>
          <w:sz w:val="13"/>
          <w:szCs w:val="13"/>
          <w:color w:val="auto"/>
        </w:rPr>
      </w:pPr>
      <w:r>
        <w:rPr>
          <w:rFonts w:ascii="Arial" w:cs="Arial" w:eastAsia="Arial" w:hAnsi="Arial"/>
          <w:sz w:val="13"/>
          <w:szCs w:val="13"/>
          <w:color w:val="auto"/>
        </w:rPr>
        <w:t>A reconciliation of non-GAAP guidance measures to corresponding GAAP measures for the full year 2026 Financial Outlook is not available on a forward-looking basis without unreasonable effort due to the uncertainty regarding, and the potential variability of, the costs and expenses that may be incurred in the future. We have provided a reconciliation of GAAP to non-GAAP financial measures for historical periods in the reconciliation table in the Non-GAAP Financial Measures above.</w:t>
      </w:r>
    </w:p>
    <w:p>
      <w:pPr>
        <w:ind w:left="185" w:hanging="185"/>
        <w:spacing w:after="0"/>
        <w:tabs>
          <w:tab w:leader="none" w:pos="185"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retail installment sale contracts originated through third-party dealers.</w:t>
      </w:r>
    </w:p>
    <w:p>
      <w:pPr>
        <w:spacing w:after="0" w:line="151"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 foregoing estimates are forward-looking statements that reflect the Company’s expectations as of March 26, 2026 and are subject to substantial uncertainty.</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6"/>
          <w:szCs w:val="16"/>
          <w:color w:val="auto"/>
        </w:rPr>
        <w:t>See “Forward-Looking Statements” below.</w:t>
      </w:r>
    </w:p>
    <w:p>
      <w:pPr>
        <w:spacing w:after="0" w:line="15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Vroom (Nasdaq: VRM)</w:t>
      </w:r>
    </w:p>
    <w:p>
      <w:pPr>
        <w:spacing w:after="0" w:line="173" w:lineRule="exact"/>
        <w:rPr>
          <w:sz w:val="20"/>
          <w:szCs w:val="20"/>
          <w:color w:val="auto"/>
        </w:rPr>
      </w:pPr>
    </w:p>
    <w:p>
      <w:pPr>
        <w:ind w:left="5" w:right="180"/>
        <w:spacing w:after="0" w:line="241" w:lineRule="auto"/>
        <w:rPr>
          <w:sz w:val="20"/>
          <w:szCs w:val="20"/>
          <w:color w:val="auto"/>
        </w:rPr>
      </w:pPr>
      <w:r>
        <w:rPr>
          <w:rFonts w:ascii="Arial" w:cs="Arial" w:eastAsia="Arial" w:hAnsi="Arial"/>
          <w:sz w:val="16"/>
          <w:szCs w:val="16"/>
          <w:color w:val="auto"/>
        </w:rPr>
        <w:t>Vroom owns and operates United Auto Credit Corporation (UACC), a leading indirect automotive lender serving the independent and franchise dealer market nationwide, and CarStory, a leader in AI-powered analytics and digital services for automotive retail. Prior to January 2024, Vroom also operated an end-to-end ecommerce platform to buy and sell used vehicles. Pursuant to its previously announced Value Maximization Plan, Vroom discontinued its ecommerce operations and used vehicle dealership business.</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Forward-Looking Statements</w:t>
      </w:r>
    </w:p>
    <w:p>
      <w:pPr>
        <w:spacing w:after="0" w:line="173" w:lineRule="exact"/>
        <w:rPr>
          <w:sz w:val="20"/>
          <w:szCs w:val="20"/>
          <w:color w:val="auto"/>
        </w:rPr>
      </w:pPr>
    </w:p>
    <w:p>
      <w:pPr>
        <w:jc w:val="both"/>
        <w:ind w:left="5"/>
        <w:spacing w:after="0" w:line="23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financial outlook for the full year 2026, including expected indirect origination volume and adjusted net income (loss), our internal adjusted net loss plan, the restructuring, including its impact and intended benefits, our strategic initiatives and long-term strategy, planned technology investments, future results of operations and financial position, adjusted net income (loss), our total available liquidity, our liquidity position and the timing of any of the foregoing. These statements are based on management’s current assumptions and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For factors that could cause actual results to differ materially from the forward-looking statements in this press release, please see the risks and uncertainties identified under the heading "Risk Factors" in our Annual Report on Form 10-K for the year ended December 31, 2025, which is available on our Investor Relations website at ir.vroom.com and on the SEC website at www.sec.gov</w:t>
      </w:r>
      <w:r>
        <w:rPr>
          <w:rFonts w:ascii="Arial" w:cs="Arial" w:eastAsia="Arial" w:hAnsi="Arial"/>
          <w:sz w:val="16"/>
          <w:szCs w:val="16"/>
          <w:color w:val="333333"/>
        </w:rPr>
        <w:t>.</w:t>
      </w:r>
      <w:r>
        <w:rPr>
          <w:rFonts w:ascii="Arial" w:cs="Arial" w:eastAsia="Arial" w:hAnsi="Arial"/>
          <w:sz w:val="16"/>
          <w:szCs w:val="16"/>
          <w:color w:val="auto"/>
        </w:rPr>
        <w:t xml:space="preserve"> All forward-looking statements reflect our beliefs and assumptions only as of the date of this press release. We undertake no obligation to update forward-looking statements to reflect future events or circumstances.</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 Relations:</w:t>
      </w:r>
    </w:p>
    <w:p>
      <w:pPr>
        <w:spacing w:after="0" w:line="173" w:lineRule="exact"/>
        <w:rPr>
          <w:sz w:val="20"/>
          <w:szCs w:val="20"/>
          <w:color w:val="auto"/>
        </w:rPr>
      </w:pPr>
    </w:p>
    <w:p>
      <w:pPr>
        <w:ind w:left="5"/>
        <w:spacing w:after="0"/>
        <w:rPr>
          <w:sz w:val="20"/>
          <w:szCs w:val="20"/>
          <w:color w:val="auto"/>
        </w:rPr>
      </w:pPr>
      <w:r>
        <w:rPr>
          <w:rFonts w:ascii="Arial" w:cs="Arial" w:eastAsia="Arial" w:hAnsi="Arial"/>
          <w:sz w:val="16"/>
          <w:szCs w:val="16"/>
          <w:color w:val="auto"/>
        </w:rPr>
        <w:t>Vroom</w:t>
      </w:r>
    </w:p>
    <w:p>
      <w:pPr>
        <w:spacing w:after="0" w:line="1" w:lineRule="exact"/>
        <w:rPr>
          <w:sz w:val="20"/>
          <w:szCs w:val="20"/>
          <w:color w:val="auto"/>
        </w:rPr>
      </w:pPr>
    </w:p>
    <w:p>
      <w:pPr>
        <w:ind w:left="5"/>
        <w:spacing w:after="0"/>
        <w:rPr>
          <w:sz w:val="20"/>
          <w:szCs w:val="20"/>
          <w:color w:val="auto"/>
        </w:rPr>
      </w:pPr>
      <w:r>
        <w:rPr>
          <w:rFonts w:ascii="Arial" w:cs="Arial" w:eastAsia="Arial" w:hAnsi="Arial"/>
          <w:sz w:val="16"/>
          <w:szCs w:val="16"/>
          <w:color w:val="auto"/>
        </w:rPr>
        <w:t>Jon Sandison</w:t>
      </w:r>
    </w:p>
    <w:p>
      <w:pPr>
        <w:ind w:left="5"/>
        <w:spacing w:after="0"/>
        <w:rPr>
          <w:sz w:val="20"/>
          <w:szCs w:val="20"/>
          <w:color w:val="auto"/>
        </w:rPr>
      </w:pPr>
      <w:r>
        <w:rPr>
          <w:rFonts w:ascii="Arial" w:cs="Arial" w:eastAsia="Arial" w:hAnsi="Arial"/>
          <w:sz w:val="16"/>
          <w:szCs w:val="16"/>
          <w:color w:val="auto"/>
        </w:rPr>
        <w:t>investors@vroom.com</w:t>
      </w:r>
    </w:p>
    <w:p>
      <w:pPr>
        <w:spacing w:after="0" w:line="200" w:lineRule="exact"/>
        <w:rPr>
          <w:sz w:val="20"/>
          <w:szCs w:val="20"/>
          <w:color w:val="auto"/>
        </w:rPr>
      </w:pPr>
    </w:p>
    <w:p>
      <w:pPr>
        <w:spacing w:after="0" w:line="32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0" w:right="3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3"/>
                <w:szCs w:val="13"/>
                <w:b w:val="1"/>
                <w:bCs w:val="1"/>
                <w:color w:val="auto"/>
                <w:w w:val="97"/>
              </w:rPr>
              <w:t>Successor</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230"/>
              <w:spacing w:after="0" w:line="126" w:lineRule="exact"/>
              <w:rPr>
                <w:sz w:val="20"/>
                <w:szCs w:val="20"/>
                <w:color w:val="auto"/>
              </w:rPr>
            </w:pPr>
            <w:r>
              <w:rPr>
                <w:rFonts w:ascii="Arial" w:cs="Arial" w:eastAsia="Arial" w:hAnsi="Arial"/>
                <w:sz w:val="13"/>
                <w:szCs w:val="13"/>
                <w:b w:val="1"/>
                <w:bCs w:val="1"/>
                <w:color w:val="auto"/>
                <w:w w:val="98"/>
              </w:rPr>
              <w:t>As of</w:t>
            </w:r>
          </w:p>
        </w:tc>
        <w:tc>
          <w:tcPr>
            <w:tcW w:w="2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right="230"/>
              <w:spacing w:after="0" w:line="126" w:lineRule="exact"/>
              <w:rPr>
                <w:sz w:val="20"/>
                <w:szCs w:val="20"/>
                <w:color w:val="auto"/>
              </w:rPr>
            </w:pPr>
            <w:r>
              <w:rPr>
                <w:rFonts w:ascii="Arial" w:cs="Arial" w:eastAsia="Arial" w:hAnsi="Arial"/>
                <w:sz w:val="13"/>
                <w:szCs w:val="13"/>
                <w:b w:val="1"/>
                <w:bCs w:val="1"/>
                <w:color w:val="auto"/>
                <w:w w:val="98"/>
              </w:rPr>
              <w:t>As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jc w:val="center"/>
              <w:ind w:right="190"/>
              <w:spacing w:after="0" w:line="134" w:lineRule="exact"/>
              <w:rPr>
                <w:sz w:val="20"/>
                <w:szCs w:val="20"/>
                <w:color w:val="auto"/>
              </w:rPr>
            </w:pPr>
            <w:r>
              <w:rPr>
                <w:rFonts w:ascii="Arial" w:cs="Arial" w:eastAsia="Arial" w:hAnsi="Arial"/>
                <w:sz w:val="13"/>
                <w:szCs w:val="13"/>
                <w:b w:val="1"/>
                <w:bCs w:val="1"/>
                <w:color w:val="auto"/>
                <w:w w:val="96"/>
              </w:rPr>
              <w:t>2025</w:t>
            </w:r>
          </w:p>
        </w:tc>
        <w:tc>
          <w:tcPr>
            <w:tcW w:w="2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center"/>
              <w:ind w:right="190"/>
              <w:spacing w:after="0" w:line="134" w:lineRule="exact"/>
              <w:rPr>
                <w:sz w:val="20"/>
                <w:szCs w:val="20"/>
                <w:color w:val="auto"/>
              </w:rPr>
            </w:pPr>
            <w:r>
              <w:rPr>
                <w:rFonts w:ascii="Arial" w:cs="Arial" w:eastAsia="Arial" w:hAnsi="Arial"/>
                <w:sz w:val="13"/>
                <w:szCs w:val="13"/>
                <w:b w:val="1"/>
                <w:bCs w:val="1"/>
                <w:color w:val="auto"/>
                <w:w w:val="96"/>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shd w:val="clear" w:color="auto" w:fill="CFF0FC"/>
          </w:tcPr>
          <w:p>
            <w:pPr>
              <w:spacing w:after="0" w:line="157"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10,384</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29,343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 (including restricted cash of consolidated VIEs of $55.8 million and $48.1 million, respectively)</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55,914</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80" w:type="dxa"/>
            <w:vAlign w:val="bottom"/>
          </w:tcPr>
          <w:p>
            <w:pPr>
              <w:spacing w:after="0" w:line="153" w:lineRule="exact"/>
              <w:rPr>
                <w:sz w:val="20"/>
                <w:szCs w:val="20"/>
                <w:color w:val="auto"/>
              </w:rPr>
            </w:pPr>
            <w:r>
              <w:rPr>
                <w:rFonts w:ascii="Arial" w:cs="Arial" w:eastAsia="Arial" w:hAnsi="Arial"/>
                <w:sz w:val="14"/>
                <w:szCs w:val="14"/>
                <w:color w:val="auto"/>
              </w:rPr>
              <w:t>Finance receivables at fair value (including finance receivables of consolidated VIEs of $777.0 million and $467.3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200" w:type="dxa"/>
            <w:vAlign w:val="bottom"/>
            <w:gridSpan w:val="2"/>
          </w:tcPr>
          <w:p>
            <w:pPr>
              <w:spacing w:after="0"/>
              <w:rPr>
                <w:sz w:val="20"/>
                <w:szCs w:val="20"/>
                <w:color w:val="auto"/>
              </w:rPr>
            </w:pPr>
            <w:r>
              <w:rPr>
                <w:rFonts w:ascii="Arial" w:cs="Arial" w:eastAsia="Arial" w:hAnsi="Arial"/>
                <w:sz w:val="14"/>
                <w:szCs w:val="14"/>
                <w:color w:val="auto"/>
              </w:rPr>
              <w:t>million, respectively)</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808,636</w:t>
            </w: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503,848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8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Finance receivables held for sale, net (including finance receivables of consolidated VIEs of $0.0 and $310.0</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million, respectively)</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72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318,192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80" w:type="dxa"/>
            <w:vAlign w:val="bottom"/>
          </w:tcPr>
          <w:p>
            <w:pPr>
              <w:spacing w:after="0" w:line="153" w:lineRule="exact"/>
              <w:rPr>
                <w:sz w:val="20"/>
                <w:szCs w:val="20"/>
                <w:color w:val="auto"/>
              </w:rPr>
            </w:pPr>
            <w:r>
              <w:rPr>
                <w:rFonts w:ascii="Arial" w:cs="Arial" w:eastAsia="Arial" w:hAnsi="Arial"/>
                <w:sz w:val="14"/>
                <w:szCs w:val="14"/>
                <w:color w:val="auto"/>
              </w:rPr>
              <w:t>Interest receivable (including interest receivables of consolidated VIEs of $12.4 million and $13.3 million,</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200" w:type="dxa"/>
            <w:vAlign w:val="bottom"/>
            <w:gridSpan w:val="2"/>
          </w:tcPr>
          <w:p>
            <w:pPr>
              <w:spacing w:after="0"/>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12,834</w:t>
            </w: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14,067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6,744</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12,370</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104,869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5,792</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Other assets (including other assets of consolidated VIEs of $9.8 million and $10.8 million, respectively)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24,665</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35,472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Assets from discontinued operations</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60" w:type="dxa"/>
            <w:vAlign w:val="bottom"/>
            <w:tcBorders>
              <w:bottom w:val="single" w:sz="8" w:color="CFF0FC"/>
              <w:right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tcPr>
          <w:p>
            <w:pPr>
              <w:spacing w:after="0" w:line="157" w:lineRule="exact"/>
              <w:rPr>
                <w:sz w:val="20"/>
                <w:szCs w:val="20"/>
                <w:color w:val="auto"/>
              </w:rPr>
            </w:pPr>
            <w:r>
              <w:rPr>
                <w:rFonts w:ascii="Arial" w:cs="Arial" w:eastAsia="Arial" w:hAnsi="Arial"/>
                <w:sz w:val="14"/>
                <w:szCs w:val="14"/>
                <w:color w:val="auto"/>
              </w:rPr>
              <w:t>Total assets</w:t>
            </w:r>
          </w:p>
        </w:tc>
        <w:tc>
          <w:tcPr>
            <w:tcW w:w="380" w:type="dxa"/>
            <w:vAlign w:val="bottom"/>
            <w:gridSpan w:val="2"/>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57" w:lineRule="exact"/>
              <w:rPr>
                <w:sz w:val="20"/>
                <w:szCs w:val="20"/>
                <w:color w:val="auto"/>
              </w:rPr>
            </w:pPr>
            <w:r>
              <w:rPr>
                <w:rFonts w:ascii="Arial" w:cs="Arial" w:eastAsia="Arial" w:hAnsi="Arial"/>
                <w:sz w:val="14"/>
                <w:szCs w:val="14"/>
                <w:color w:val="auto"/>
              </w:rPr>
              <w:t>937,385</w:t>
            </w: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ind w:right="109"/>
              <w:spacing w:after="0" w:line="157" w:lineRule="exact"/>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1,066,696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7180" w:type="dxa"/>
            <w:vAlign w:val="bottom"/>
            <w:shd w:val="clear" w:color="auto" w:fill="CFF0FC"/>
          </w:tcPr>
          <w:p>
            <w:pPr>
              <w:spacing w:after="0" w:line="141" w:lineRule="exact"/>
              <w:rPr>
                <w:sz w:val="20"/>
                <w:szCs w:val="20"/>
                <w:color w:val="auto"/>
              </w:rPr>
            </w:pPr>
            <w:r>
              <w:rPr>
                <w:rFonts w:ascii="Arial" w:cs="Arial" w:eastAsia="Arial" w:hAnsi="Arial"/>
                <w:sz w:val="14"/>
                <w:szCs w:val="14"/>
                <w:b w:val="1"/>
                <w:bCs w:val="1"/>
                <w:color w:val="auto"/>
              </w:rPr>
              <w:t>LIABILITIES AND STOCKHOLDERS’ EQUITY (DEFICIT)</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Warehouse credit facilities of consolidated VIEs</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318,655</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359,912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Related party line of credit (Note 20)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18,500</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80" w:type="dxa"/>
            <w:vAlign w:val="bottom"/>
          </w:tcPr>
          <w:p>
            <w:pPr>
              <w:spacing w:after="0" w:line="153" w:lineRule="exact"/>
              <w:rPr>
                <w:sz w:val="20"/>
                <w:szCs w:val="20"/>
                <w:color w:val="auto"/>
              </w:rPr>
            </w:pPr>
            <w:r>
              <w:rPr>
                <w:rFonts w:ascii="Arial" w:cs="Arial" w:eastAsia="Arial" w:hAnsi="Arial"/>
                <w:sz w:val="14"/>
                <w:szCs w:val="14"/>
                <w:color w:val="auto"/>
              </w:rPr>
              <w:t>Long-term debt (including securitization debt of consolidated VIEs of $393.2 million at fair value as of December</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200" w:type="dxa"/>
            <w:vAlign w:val="bottom"/>
            <w:gridSpan w:val="2"/>
          </w:tcPr>
          <w:p>
            <w:pPr>
              <w:spacing w:after="0"/>
              <w:rPr>
                <w:sz w:val="20"/>
                <w:szCs w:val="20"/>
                <w:color w:val="auto"/>
              </w:rPr>
            </w:pPr>
            <w:r>
              <w:rPr>
                <w:rFonts w:ascii="Arial" w:cs="Arial" w:eastAsia="Arial" w:hAnsi="Arial"/>
                <w:sz w:val="14"/>
                <w:szCs w:val="14"/>
                <w:color w:val="auto"/>
              </w:rPr>
              <w:t>31, 2025 and $210.7 million at amortized cost and $142.6 million at fair value as of December 31, 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423,197</w:t>
            </w: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381,366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Related party note (Note 20)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Operating lease liabilities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9,142</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11,065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Other liabilities (including other liabilities of consolidated VIEs of $15.7 million and $13.8 million, respectively)</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41,149</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Liabilities subject to compromise (Note 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291,577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Liabilities from discontinued operations</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260" w:type="dxa"/>
            <w:vAlign w:val="bottom"/>
            <w:tcBorders>
              <w:bottom w:val="single" w:sz="8" w:color="CFF0FC"/>
              <w:right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4,022</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tcPr>
          <w:p>
            <w:pPr>
              <w:spacing w:after="0" w:line="157" w:lineRule="exact"/>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820,767</w:t>
            </w: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1,097,641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Commitments and contingencies (Note 13)</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8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Common stock, $0.001 par value; 250,000,000 shares authorized as of December 31, 2025 and 500,000,000</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shares authorized as of December 31, 2024; 5,199,641 and 1,822,532 shares issued and outstanding as of</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December 31, 2025 and December 31, 2024, respectively</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Additional paid-in-capital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169,663</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2,094,889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7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(53,050)</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(2,125,836)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7180" w:type="dxa"/>
            <w:vAlign w:val="bottom"/>
          </w:tcPr>
          <w:p>
            <w:pPr>
              <w:spacing w:after="0" w:line="157" w:lineRule="exact"/>
              <w:rPr>
                <w:sz w:val="20"/>
                <w:szCs w:val="20"/>
                <w:color w:val="auto"/>
              </w:rPr>
            </w:pPr>
            <w:r>
              <w:rPr>
                <w:rFonts w:ascii="Arial" w:cs="Arial" w:eastAsia="Arial" w:hAnsi="Arial"/>
                <w:sz w:val="14"/>
                <w:szCs w:val="14"/>
                <w:color w:val="auto"/>
              </w:rPr>
              <w:t>Total stockholders’ equity (deficit)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line="157" w:lineRule="exact"/>
              <w:rPr>
                <w:sz w:val="20"/>
                <w:szCs w:val="20"/>
                <w:color w:val="auto"/>
              </w:rPr>
            </w:pPr>
            <w:r>
              <w:rPr>
                <w:rFonts w:ascii="Arial" w:cs="Arial" w:eastAsia="Arial" w:hAnsi="Arial"/>
                <w:sz w:val="14"/>
                <w:szCs w:val="14"/>
                <w:color w:val="auto"/>
              </w:rPr>
              <w:t>116,618</w:t>
            </w: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(30,945)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Total liabilities and stockholders’ equity (deficit)</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9"/>
              <w:spacing w:after="0" w:line="157"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937,385</w:t>
            </w:r>
          </w:p>
        </w:tc>
        <w:tc>
          <w:tcPr>
            <w:tcW w:w="260" w:type="dxa"/>
            <w:vAlign w:val="bottom"/>
            <w:tcBorders>
              <w:bottom w:val="single" w:sz="8" w:color="CFF0FC"/>
              <w:right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9"/>
              <w:spacing w:after="0" w:line="157"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1,066,696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-2289810</wp:posOffset>
            </wp:positionV>
            <wp:extent cx="6731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-2289810</wp:posOffset>
            </wp:positionV>
            <wp:extent cx="6731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-1102995</wp:posOffset>
            </wp:positionV>
            <wp:extent cx="6731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-1102995</wp:posOffset>
            </wp:positionV>
            <wp:extent cx="673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-247015</wp:posOffset>
            </wp:positionV>
            <wp:extent cx="6731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-247015</wp:posOffset>
            </wp:positionV>
            <wp:extent cx="6731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-21590</wp:posOffset>
            </wp:positionV>
            <wp:extent cx="6731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-6985</wp:posOffset>
            </wp:positionV>
            <wp:extent cx="6731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9" w:right="3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jc w:val="center"/>
        <w:ind w:right="20"/>
        <w:spacing w:after="0" w:line="231" w:lineRule="auto"/>
        <w:rPr>
          <w:sz w:val="20"/>
          <w:szCs w:val="20"/>
          <w:color w:val="auto"/>
        </w:rPr>
      </w:pPr>
      <w:r>
        <w:rPr>
          <w:rFonts w:ascii="Arial" w:cs="Arial" w:eastAsia="Arial" w:hAnsi="Arial"/>
          <w:sz w:val="16"/>
          <w:szCs w:val="16"/>
          <w:b w:val="1"/>
          <w:bCs w:val="1"/>
          <w:color w:val="auto"/>
        </w:rPr>
        <w:t>(in thousands, except share and per share amounts)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4"/>
              </w:rPr>
              <w:t>Successor</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center"/>
              <w:ind w:right="130"/>
              <w:spacing w:after="0" w:line="126" w:lineRule="exact"/>
              <w:rPr>
                <w:sz w:val="20"/>
                <w:szCs w:val="20"/>
                <w:color w:val="auto"/>
              </w:rPr>
            </w:pPr>
            <w:r>
              <w:rPr>
                <w:rFonts w:ascii="Arial" w:cs="Arial" w:eastAsia="Arial" w:hAnsi="Arial"/>
                <w:sz w:val="13"/>
                <w:szCs w:val="13"/>
                <w:b w:val="1"/>
                <w:bCs w:val="1"/>
                <w:color w:val="auto"/>
                <w:w w:val="97"/>
              </w:rPr>
              <w:t>Three Months Ended</w:t>
            </w: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center"/>
              <w:ind w:right="130"/>
              <w:spacing w:after="0" w:line="126" w:lineRule="exact"/>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6"/>
              </w:rPr>
              <w:t>December 31,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center"/>
              <w:ind w:right="110"/>
              <w:spacing w:after="0" w:line="146" w:lineRule="exact"/>
              <w:rPr>
                <w:sz w:val="20"/>
                <w:szCs w:val="20"/>
                <w:color w:val="auto"/>
              </w:rPr>
            </w:pPr>
            <w:r>
              <w:rPr>
                <w:rFonts w:ascii="Arial" w:cs="Arial" w:eastAsia="Arial" w:hAnsi="Arial"/>
                <w:sz w:val="13"/>
                <w:szCs w:val="13"/>
                <w:b w:val="1"/>
                <w:bCs w:val="1"/>
                <w:color w:val="auto"/>
                <w:w w:val="96"/>
              </w:rPr>
              <w:t>2025</w:t>
            </w:r>
          </w:p>
        </w:tc>
        <w:tc>
          <w:tcPr>
            <w:tcW w:w="2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center"/>
              <w:ind w:right="90"/>
              <w:spacing w:after="0" w:line="146" w:lineRule="exact"/>
              <w:rPr>
                <w:sz w:val="20"/>
                <w:szCs w:val="20"/>
                <w:color w:val="auto"/>
              </w:rPr>
            </w:pPr>
            <w:r>
              <w:rPr>
                <w:rFonts w:ascii="Arial" w:cs="Arial" w:eastAsia="Arial" w:hAnsi="Arial"/>
                <w:sz w:val="13"/>
                <w:szCs w:val="13"/>
                <w:b w:val="1"/>
                <w:bCs w:val="1"/>
                <w:color w:val="auto"/>
                <w:w w:val="96"/>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Interest income</w:t>
            </w:r>
          </w:p>
        </w:tc>
        <w:tc>
          <w:tcPr>
            <w:tcW w:w="320" w:type="dxa"/>
            <w:vAlign w:val="bottom"/>
            <w:gridSpan w:val="2"/>
            <w:shd w:val="clear" w:color="auto" w:fill="CFF0FC"/>
          </w:tcPr>
          <w:p>
            <w:pPr>
              <w:jc w:val="right"/>
              <w:ind w:right="9"/>
              <w:spacing w:after="0" w:line="157" w:lineRule="exact"/>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43,916</w:t>
            </w:r>
          </w:p>
        </w:tc>
        <w:tc>
          <w:tcPr>
            <w:tcW w:w="280" w:type="dxa"/>
            <w:vAlign w:val="bottom"/>
            <w:tcBorders>
              <w:right w:val="single" w:sz="8" w:color="auto"/>
            </w:tcBorders>
            <w:shd w:val="clear" w:color="auto" w:fill="CFF0FC"/>
          </w:tcPr>
          <w:p>
            <w:pPr>
              <w:spacing w:after="0"/>
              <w:rPr>
                <w:sz w:val="13"/>
                <w:szCs w:val="13"/>
                <w:color w:val="auto"/>
              </w:rPr>
            </w:pPr>
          </w:p>
        </w:tc>
        <w:tc>
          <w:tcPr>
            <w:tcW w:w="340" w:type="dxa"/>
            <w:vAlign w:val="bottom"/>
            <w:gridSpan w:val="2"/>
            <w:shd w:val="clear" w:color="auto" w:fill="CFF0FC"/>
          </w:tcPr>
          <w:p>
            <w:pPr>
              <w:jc w:val="right"/>
              <w:ind w:right="9"/>
              <w:spacing w:after="0" w:line="157" w:lineRule="exact"/>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48,681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8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40"/>
              <w:spacing w:after="0"/>
              <w:rPr>
                <w:sz w:val="20"/>
                <w:szCs w:val="20"/>
                <w:color w:val="auto"/>
              </w:rPr>
            </w:pPr>
            <w:r>
              <w:rPr>
                <w:rFonts w:ascii="Arial" w:cs="Arial" w:eastAsia="Arial" w:hAnsi="Arial"/>
                <w:sz w:val="14"/>
                <w:szCs w:val="14"/>
                <w:color w:val="auto"/>
              </w:rPr>
              <w:t>Warehouse credit facility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5,163</w:t>
            </w: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Securitization debt</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7,764</w:t>
            </w:r>
          </w:p>
        </w:tc>
        <w:tc>
          <w:tcPr>
            <w:tcW w:w="280" w:type="dxa"/>
            <w:vAlign w:val="bottom"/>
            <w:tcBorders>
              <w:bottom w:val="single" w:sz="8" w:color="CFF0FC"/>
              <w:right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tcPr>
          <w:p>
            <w:pPr>
              <w:spacing w:after="0" w:line="157" w:lineRule="exact"/>
              <w:rPr>
                <w:sz w:val="20"/>
                <w:szCs w:val="20"/>
                <w:color w:val="auto"/>
              </w:rPr>
            </w:pPr>
            <w:r>
              <w:rPr>
                <w:rFonts w:ascii="Arial" w:cs="Arial" w:eastAsia="Arial" w:hAnsi="Arial"/>
                <w:sz w:val="14"/>
                <w:szCs w:val="14"/>
                <w:color w:val="auto"/>
              </w:rPr>
              <w:t>Total interest expense</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12,927</w:t>
            </w:r>
          </w:p>
        </w:tc>
        <w:tc>
          <w:tcPr>
            <w:tcW w:w="2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14,692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30,989</w:t>
            </w:r>
          </w:p>
        </w:tc>
        <w:tc>
          <w:tcPr>
            <w:tcW w:w="28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33,989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Realized and unrealized losses, net of recoveries</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23,457</w:t>
            </w:r>
          </w:p>
        </w:tc>
        <w:tc>
          <w:tcPr>
            <w:tcW w:w="280" w:type="dxa"/>
            <w:vAlign w:val="bottom"/>
            <w:tcBorders>
              <w:bottom w:val="single" w:sz="8" w:color="CFF0FC"/>
              <w:right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31,974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tcPr>
          <w:p>
            <w:pPr>
              <w:spacing w:after="0" w:line="157" w:lineRule="exact"/>
              <w:rPr>
                <w:sz w:val="20"/>
                <w:szCs w:val="20"/>
                <w:color w:val="auto"/>
              </w:rPr>
            </w:pPr>
            <w:r>
              <w:rPr>
                <w:rFonts w:ascii="Arial" w:cs="Arial" w:eastAsia="Arial" w:hAnsi="Arial"/>
                <w:sz w:val="14"/>
                <w:szCs w:val="14"/>
                <w:color w:val="auto"/>
              </w:rPr>
              <w:t>Net interest income after losses and recoveries</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7,532</w:t>
            </w:r>
          </w:p>
        </w:tc>
        <w:tc>
          <w:tcPr>
            <w:tcW w:w="2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28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FF0FC"/>
          </w:tcPr>
          <w:p>
            <w:pPr>
              <w:ind w:left="40"/>
              <w:spacing w:after="0"/>
              <w:rPr>
                <w:sz w:val="20"/>
                <w:szCs w:val="20"/>
                <w:color w:val="auto"/>
              </w:rPr>
            </w:pPr>
            <w:r>
              <w:rPr>
                <w:rFonts w:ascii="Arial" w:cs="Arial" w:eastAsia="Arial" w:hAnsi="Arial"/>
                <w:sz w:val="14"/>
                <w:szCs w:val="14"/>
                <w:color w:val="auto"/>
              </w:rPr>
              <w:t>Servicing income</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w:t>
            </w:r>
          </w:p>
        </w:tc>
        <w:tc>
          <w:tcPr>
            <w:tcW w:w="28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40"/>
              <w:spacing w:after="0"/>
              <w:rPr>
                <w:sz w:val="20"/>
                <w:szCs w:val="20"/>
                <w:color w:val="auto"/>
              </w:rPr>
            </w:pPr>
            <w:r>
              <w:rPr>
                <w:rFonts w:ascii="Arial" w:cs="Arial" w:eastAsia="Arial" w:hAnsi="Arial"/>
                <w:sz w:val="14"/>
                <w:szCs w:val="14"/>
                <w:color w:val="auto"/>
              </w:rPr>
              <w:t>Warranties and GAP income, net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3,590</w:t>
            </w: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FF0FC"/>
          </w:tcPr>
          <w:p>
            <w:pPr>
              <w:ind w:left="40"/>
              <w:spacing w:after="0"/>
              <w:rPr>
                <w:sz w:val="20"/>
                <w:szCs w:val="20"/>
                <w:color w:val="auto"/>
              </w:rPr>
            </w:pPr>
            <w:r>
              <w:rPr>
                <w:rFonts w:ascii="Arial" w:cs="Arial" w:eastAsia="Arial" w:hAnsi="Arial"/>
                <w:sz w:val="14"/>
                <w:szCs w:val="14"/>
                <w:color w:val="auto"/>
              </w:rPr>
              <w:t>CarStory revenue</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1,329</w:t>
            </w:r>
          </w:p>
        </w:tc>
        <w:tc>
          <w:tcPr>
            <w:tcW w:w="28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w:t>
            </w: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noninterest income</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7,913</w:t>
            </w:r>
          </w:p>
        </w:tc>
        <w:tc>
          <w:tcPr>
            <w:tcW w:w="280" w:type="dxa"/>
            <w:vAlign w:val="bottom"/>
            <w:tcBorders>
              <w:right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8,471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8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40"/>
              <w:spacing w:after="0"/>
              <w:rPr>
                <w:sz w:val="20"/>
                <w:szCs w:val="20"/>
                <w:color w:val="auto"/>
              </w:rPr>
            </w:pPr>
            <w:r>
              <w:rPr>
                <w:rFonts w:ascii="Arial" w:cs="Arial" w:eastAsia="Arial" w:hAnsi="Arial"/>
                <w:sz w:val="14"/>
                <w:szCs w:val="14"/>
                <w:color w:val="auto"/>
              </w:rPr>
              <w:t>Compensation and benefits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16,777</w:t>
            </w: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20,642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FF0FC"/>
          </w:tcPr>
          <w:p>
            <w:pPr>
              <w:ind w:left="4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2,973</w:t>
            </w:r>
          </w:p>
        </w:tc>
        <w:tc>
          <w:tcPr>
            <w:tcW w:w="28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40"/>
              <w:spacing w:after="0"/>
              <w:rPr>
                <w:sz w:val="20"/>
                <w:szCs w:val="20"/>
                <w:color w:val="auto"/>
              </w:rPr>
            </w:pPr>
            <w:r>
              <w:rPr>
                <w:rFonts w:ascii="Arial" w:cs="Arial" w:eastAsia="Arial" w:hAnsi="Arial"/>
                <w:sz w:val="14"/>
                <w:szCs w:val="14"/>
                <w:color w:val="auto"/>
              </w:rPr>
              <w:t>Software and IT costs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2,985</w:t>
            </w: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FF0FC"/>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w:t>
            </w:r>
          </w:p>
        </w:tc>
        <w:tc>
          <w:tcPr>
            <w:tcW w:w="28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40"/>
              <w:spacing w:after="0"/>
              <w:rPr>
                <w:sz w:val="20"/>
                <w:szCs w:val="20"/>
                <w:color w:val="auto"/>
              </w:rPr>
            </w:pPr>
            <w:r>
              <w:rPr>
                <w:rFonts w:ascii="Arial" w:cs="Arial" w:eastAsia="Arial" w:hAnsi="Arial"/>
                <w:sz w:val="14"/>
                <w:szCs w:val="14"/>
                <w:color w:val="auto"/>
              </w:rPr>
              <w:t>Interest expense on corporate debt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913</w:t>
            </w: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FF0FC"/>
          </w:tcPr>
          <w:p>
            <w:pPr>
              <w:ind w:left="40"/>
              <w:spacing w:after="0"/>
              <w:rPr>
                <w:sz w:val="20"/>
                <w:szCs w:val="20"/>
                <w:color w:val="auto"/>
              </w:rPr>
            </w:pPr>
            <w:r>
              <w:rPr>
                <w:rFonts w:ascii="Arial" w:cs="Arial" w:eastAsia="Arial" w:hAnsi="Arial"/>
                <w:sz w:val="14"/>
                <w:szCs w:val="14"/>
                <w:color w:val="auto"/>
              </w:rPr>
              <w:t>Impairment charges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40"/>
              <w:spacing w:after="0"/>
              <w:rPr>
                <w:sz w:val="20"/>
                <w:szCs w:val="20"/>
                <w:color w:val="auto"/>
              </w:rPr>
            </w:pPr>
            <w:r>
              <w:rPr>
                <w:rFonts w:ascii="Arial" w:cs="Arial" w:eastAsia="Arial" w:hAnsi="Arial"/>
                <w:sz w:val="14"/>
                <w:szCs w:val="14"/>
                <w:color w:val="auto"/>
              </w:rPr>
              <w:t>Other expenses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2,342</w:t>
            </w: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Total expenses</w:t>
            </w:r>
          </w:p>
        </w:tc>
        <w:tc>
          <w:tcPr>
            <w:tcW w:w="1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27,025</w:t>
            </w:r>
          </w:p>
        </w:tc>
        <w:tc>
          <w:tcPr>
            <w:tcW w:w="280" w:type="dxa"/>
            <w:vAlign w:val="bottom"/>
            <w:tcBorders>
              <w:bottom w:val="single" w:sz="8" w:color="CFF0FC"/>
              <w:right w:val="single" w:sz="8" w:color="auto"/>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41,175</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Loss from continuing operations before reorganization items and provision for income taxes</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60" w:type="dxa"/>
            <w:vAlign w:val="bottom"/>
            <w:tcBorders>
              <w:right w:val="single" w:sz="8" w:color="auto"/>
            </w:tcBorders>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(11,580)</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(30,689)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ind w:left="40"/>
              <w:spacing w:after="0"/>
              <w:rPr>
                <w:sz w:val="20"/>
                <w:szCs w:val="20"/>
                <w:color w:val="auto"/>
              </w:rPr>
            </w:pPr>
            <w:r>
              <w:rPr>
                <w:rFonts w:ascii="Arial" w:cs="Arial" w:eastAsia="Arial" w:hAnsi="Arial"/>
                <w:sz w:val="14"/>
                <w:szCs w:val="14"/>
                <w:color w:val="auto"/>
              </w:rPr>
              <w:t>Reorganization items, net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4"/>
                <w:szCs w:val="14"/>
                <w:color w:val="auto"/>
              </w:rPr>
              <w:t>(5,564)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4"/>
                <w:szCs w:val="14"/>
                <w:color w:val="auto"/>
              </w:rPr>
              <w:t>(Loss) income from continuing operations before provision for income taxes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(11,580)</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tcPr>
          <w:p>
            <w:pPr>
              <w:ind w:left="40"/>
              <w:spacing w:after="0" w:line="157" w:lineRule="exact"/>
              <w:rPr>
                <w:sz w:val="20"/>
                <w:szCs w:val="20"/>
                <w:color w:val="auto"/>
              </w:rPr>
            </w:pPr>
            <w:r>
              <w:rPr>
                <w:rFonts w:ascii="Arial" w:cs="Arial" w:eastAsia="Arial" w:hAnsi="Arial"/>
                <w:sz w:val="14"/>
                <w:szCs w:val="14"/>
                <w:color w:val="auto"/>
              </w:rPr>
              <w:t>Provision for income taxes from continuing operations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line="157" w:lineRule="exact"/>
              <w:rPr>
                <w:sz w:val="20"/>
                <w:szCs w:val="20"/>
                <w:color w:val="auto"/>
              </w:rPr>
            </w:pPr>
            <w:r>
              <w:rPr>
                <w:rFonts w:ascii="Arial" w:cs="Arial" w:eastAsia="Arial" w:hAnsi="Arial"/>
                <w:sz w:val="14"/>
                <w:szCs w:val="14"/>
                <w:color w:val="auto"/>
              </w:rPr>
              <w:t>463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0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loss from continuing operations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9"/>
              <w:spacing w:after="0" w:line="157" w:lineRule="exact"/>
              <w:rPr>
                <w:sz w:val="20"/>
                <w:szCs w:val="20"/>
                <w:color w:val="auto"/>
              </w:rPr>
            </w:pPr>
            <w:r>
              <w:rPr>
                <w:rFonts w:ascii="Arial" w:cs="Arial" w:eastAsia="Arial" w:hAnsi="Arial"/>
                <w:sz w:val="14"/>
                <w:szCs w:val="14"/>
                <w:color w:val="auto"/>
                <w:w w:val="76"/>
              </w:rPr>
              <w:t>$</w:t>
            </w:r>
          </w:p>
        </w:tc>
        <w:tc>
          <w:tcPr>
            <w:tcW w:w="1860" w:type="dxa"/>
            <w:vAlign w:val="bottom"/>
            <w:tcBorders>
              <w:right w:val="single" w:sz="8" w:color="auto"/>
            </w:tcBorders>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(11,521)</w:t>
            </w:r>
          </w:p>
        </w:tc>
        <w:tc>
          <w:tcPr>
            <w:tcW w:w="340" w:type="dxa"/>
            <w:vAlign w:val="bottom"/>
            <w:gridSpan w:val="2"/>
            <w:shd w:val="clear" w:color="auto" w:fill="CFF0FC"/>
          </w:tcPr>
          <w:p>
            <w:pPr>
              <w:jc w:val="right"/>
              <w:ind w:right="9"/>
              <w:spacing w:after="0" w:line="157"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(36,716)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Borders>
              <w:top w:val="single" w:sz="8" w:color="CFF0FC"/>
            </w:tcBorders>
          </w:tcPr>
          <w:p>
            <w:pPr>
              <w:spacing w:after="0" w:line="141" w:lineRule="exact"/>
              <w:rPr>
                <w:sz w:val="20"/>
                <w:szCs w:val="20"/>
                <w:color w:val="auto"/>
              </w:rPr>
            </w:pPr>
            <w:r>
              <w:rPr>
                <w:rFonts w:ascii="Arial" w:cs="Arial" w:eastAsia="Arial" w:hAnsi="Arial"/>
                <w:sz w:val="14"/>
                <w:szCs w:val="14"/>
                <w:color w:val="auto"/>
              </w:rPr>
              <w:t>Net income (loss) from discontinued operations</w:t>
            </w:r>
          </w:p>
        </w:tc>
        <w:tc>
          <w:tcPr>
            <w:tcW w:w="16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9"/>
              <w:spacing w:after="0" w:line="141" w:lineRule="exact"/>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118</w:t>
            </w:r>
          </w:p>
        </w:tc>
        <w:tc>
          <w:tcPr>
            <w:tcW w:w="280" w:type="dxa"/>
            <w:vAlign w:val="bottom"/>
            <w:tcBorders>
              <w:top w:val="single" w:sz="8" w:color="CFF0FC"/>
              <w:right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9"/>
              <w:spacing w:after="0" w:line="141"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140</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Net loss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9"/>
              <w:spacing w:after="0" w:line="141" w:lineRule="exact"/>
              <w:rPr>
                <w:sz w:val="20"/>
                <w:szCs w:val="20"/>
                <w:color w:val="auto"/>
              </w:rPr>
            </w:pPr>
            <w:r>
              <w:rPr>
                <w:rFonts w:ascii="Arial" w:cs="Arial" w:eastAsia="Arial" w:hAnsi="Arial"/>
                <w:sz w:val="14"/>
                <w:szCs w:val="14"/>
                <w:color w:val="auto"/>
                <w:w w:val="76"/>
              </w:rPr>
              <w:t>$</w:t>
            </w:r>
          </w:p>
        </w:tc>
        <w:tc>
          <w:tcPr>
            <w:tcW w:w="1860" w:type="dxa"/>
            <w:vAlign w:val="bottom"/>
            <w:tcBorders>
              <w:right w:val="single" w:sz="8" w:color="auto"/>
            </w:tcBorders>
            <w:gridSpan w:val="2"/>
            <w:shd w:val="clear" w:color="auto" w:fill="CFF0FC"/>
          </w:tcPr>
          <w:p>
            <w:pPr>
              <w:jc w:val="right"/>
              <w:ind w:right="220"/>
              <w:spacing w:after="0" w:line="141" w:lineRule="exact"/>
              <w:rPr>
                <w:sz w:val="20"/>
                <w:szCs w:val="20"/>
                <w:color w:val="auto"/>
              </w:rPr>
            </w:pPr>
            <w:r>
              <w:rPr>
                <w:rFonts w:ascii="Arial" w:cs="Arial" w:eastAsia="Arial" w:hAnsi="Arial"/>
                <w:sz w:val="14"/>
                <w:szCs w:val="14"/>
                <w:color w:val="auto"/>
              </w:rPr>
              <w:t>(11,403)</w:t>
            </w:r>
          </w:p>
        </w:tc>
        <w:tc>
          <w:tcPr>
            <w:tcW w:w="340" w:type="dxa"/>
            <w:vAlign w:val="bottom"/>
            <w:gridSpan w:val="2"/>
            <w:shd w:val="clear" w:color="auto" w:fill="CFF0FC"/>
          </w:tcPr>
          <w:p>
            <w:pPr>
              <w:jc w:val="right"/>
              <w:ind w:right="9"/>
              <w:spacing w:after="0" w:line="141"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FF0FC"/>
          </w:tcPr>
          <w:p>
            <w:pPr>
              <w:jc w:val="right"/>
              <w:ind w:right="80"/>
              <w:spacing w:after="0" w:line="141" w:lineRule="exact"/>
              <w:rPr>
                <w:sz w:val="20"/>
                <w:szCs w:val="20"/>
                <w:color w:val="auto"/>
              </w:rPr>
            </w:pPr>
            <w:r>
              <w:rPr>
                <w:rFonts w:ascii="Arial" w:cs="Arial" w:eastAsia="Arial" w:hAnsi="Arial"/>
                <w:sz w:val="14"/>
                <w:szCs w:val="14"/>
                <w:color w:val="auto"/>
              </w:rPr>
              <w:t>(36,576)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ind w:left="20"/>
              <w:spacing w:after="0" w:line="141" w:lineRule="exact"/>
              <w:rPr>
                <w:sz w:val="20"/>
                <w:szCs w:val="20"/>
                <w:color w:val="auto"/>
              </w:rPr>
            </w:pPr>
            <w:r>
              <w:rPr>
                <w:rFonts w:ascii="Arial" w:cs="Arial" w:eastAsia="Arial" w:hAnsi="Arial"/>
                <w:sz w:val="14"/>
                <w:szCs w:val="14"/>
                <w:color w:val="auto"/>
              </w:rPr>
              <w:t>Net loss per share attributable to common stockholders, continuing operations, basic and diluted</w:t>
            </w:r>
          </w:p>
        </w:tc>
        <w:tc>
          <w:tcPr>
            <w:tcW w:w="160" w:type="dxa"/>
            <w:vAlign w:val="bottom"/>
          </w:tcPr>
          <w:p>
            <w:pPr>
              <w:spacing w:after="0"/>
              <w:rPr>
                <w:sz w:val="12"/>
                <w:szCs w:val="12"/>
                <w:color w:val="auto"/>
              </w:rPr>
            </w:pPr>
          </w:p>
        </w:tc>
        <w:tc>
          <w:tcPr>
            <w:tcW w:w="160" w:type="dxa"/>
            <w:vAlign w:val="bottom"/>
          </w:tcPr>
          <w:p>
            <w:pPr>
              <w:jc w:val="right"/>
              <w:ind w:right="9"/>
              <w:spacing w:after="0" w:line="141" w:lineRule="exact"/>
              <w:rPr>
                <w:sz w:val="20"/>
                <w:szCs w:val="20"/>
                <w:color w:val="auto"/>
              </w:rPr>
            </w:pPr>
            <w:r>
              <w:rPr>
                <w:rFonts w:ascii="Arial" w:cs="Arial" w:eastAsia="Arial" w:hAnsi="Arial"/>
                <w:sz w:val="14"/>
                <w:szCs w:val="14"/>
                <w:color w:val="auto"/>
                <w:w w:val="76"/>
              </w:rPr>
              <w:t>$</w:t>
            </w:r>
          </w:p>
        </w:tc>
        <w:tc>
          <w:tcPr>
            <w:tcW w:w="1860" w:type="dxa"/>
            <w:vAlign w:val="bottom"/>
            <w:tcBorders>
              <w:right w:val="single" w:sz="8" w:color="auto"/>
            </w:tcBorders>
            <w:gridSpan w:val="2"/>
          </w:tcPr>
          <w:p>
            <w:pPr>
              <w:jc w:val="right"/>
              <w:ind w:right="220"/>
              <w:spacing w:after="0" w:line="141" w:lineRule="exact"/>
              <w:rPr>
                <w:sz w:val="20"/>
                <w:szCs w:val="20"/>
                <w:color w:val="auto"/>
              </w:rPr>
            </w:pPr>
            <w:r>
              <w:rPr>
                <w:rFonts w:ascii="Arial" w:cs="Arial" w:eastAsia="Arial" w:hAnsi="Arial"/>
                <w:sz w:val="14"/>
                <w:szCs w:val="14"/>
                <w:color w:val="auto"/>
              </w:rPr>
              <w:t>(2.22)</w:t>
            </w:r>
          </w:p>
        </w:tc>
        <w:tc>
          <w:tcPr>
            <w:tcW w:w="340" w:type="dxa"/>
            <w:vAlign w:val="bottom"/>
            <w:gridSpan w:val="2"/>
          </w:tcPr>
          <w:p>
            <w:pPr>
              <w:jc w:val="right"/>
              <w:ind w:right="9"/>
              <w:spacing w:after="0" w:line="141"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 (loss) per share attributable to common stockholders, discontinued operations, basic and diluted</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80" w:type="dxa"/>
            <w:vAlign w:val="bottom"/>
            <w:tcBorders>
              <w:bottom w:val="single" w:sz="8" w:color="CFF0FC"/>
              <w:right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0" w:type="dxa"/>
            <w:vAlign w:val="bottom"/>
          </w:tcPr>
          <w:p>
            <w:pPr>
              <w:ind w:left="20"/>
              <w:spacing w:after="0" w:line="157" w:lineRule="exact"/>
              <w:rPr>
                <w:sz w:val="20"/>
                <w:szCs w:val="20"/>
                <w:color w:val="auto"/>
              </w:rPr>
            </w:pPr>
            <w:r>
              <w:rPr>
                <w:rFonts w:ascii="Arial" w:cs="Arial" w:eastAsia="Arial" w:hAnsi="Arial"/>
                <w:sz w:val="14"/>
                <w:szCs w:val="14"/>
                <w:color w:val="auto"/>
              </w:rPr>
              <w:t>Total net loss per share attributable to common stockholders, basic and diluted</w:t>
            </w:r>
          </w:p>
        </w:tc>
        <w:tc>
          <w:tcPr>
            <w:tcW w:w="320" w:type="dxa"/>
            <w:vAlign w:val="bottom"/>
            <w:gridSpan w:val="2"/>
          </w:tcPr>
          <w:p>
            <w:pPr>
              <w:jc w:val="right"/>
              <w:ind w:right="9"/>
              <w:spacing w:after="0" w:line="157" w:lineRule="exact"/>
              <w:rPr>
                <w:sz w:val="20"/>
                <w:szCs w:val="20"/>
                <w:color w:val="auto"/>
              </w:rPr>
            </w:pPr>
            <w:r>
              <w:rPr>
                <w:rFonts w:ascii="Arial" w:cs="Arial" w:eastAsia="Arial" w:hAnsi="Arial"/>
                <w:sz w:val="14"/>
                <w:szCs w:val="14"/>
                <w:color w:val="auto"/>
              </w:rPr>
              <w:t>$</w:t>
            </w:r>
          </w:p>
        </w:tc>
        <w:tc>
          <w:tcPr>
            <w:tcW w:w="186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(2.19)</w:t>
            </w:r>
          </w:p>
        </w:tc>
        <w:tc>
          <w:tcPr>
            <w:tcW w:w="340" w:type="dxa"/>
            <w:vAlign w:val="bottom"/>
            <w:gridSpan w:val="2"/>
          </w:tcPr>
          <w:p>
            <w:pPr>
              <w:jc w:val="right"/>
              <w:ind w:right="9"/>
              <w:spacing w:after="0" w:line="157"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shd w:val="clear" w:color="auto" w:fill="CFF0FC"/>
          </w:tcPr>
          <w:p>
            <w:pPr>
              <w:ind w:left="20"/>
              <w:spacing w:after="0" w:line="129" w:lineRule="exact"/>
              <w:rPr>
                <w:sz w:val="20"/>
                <w:szCs w:val="20"/>
                <w:color w:val="auto"/>
              </w:rPr>
            </w:pPr>
            <w:r>
              <w:rPr>
                <w:rFonts w:ascii="Arial" w:cs="Arial" w:eastAsia="Arial" w:hAnsi="Arial"/>
                <w:sz w:val="14"/>
                <w:szCs w:val="14"/>
                <w:color w:val="auto"/>
              </w:rPr>
              <w:t>Weighted-average number of shares outstanding used to compute net loss per share attributable to common</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80" w:type="dxa"/>
            <w:vAlign w:val="bottom"/>
            <w:tcBorders>
              <w:right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4"/>
                <w:szCs w:val="14"/>
                <w:color w:val="auto"/>
              </w:rPr>
              <w:t>stockholders, basic and diluted</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5,199,628</w:t>
            </w:r>
          </w:p>
        </w:tc>
        <w:tc>
          <w:tcPr>
            <w:tcW w:w="280" w:type="dxa"/>
            <w:vAlign w:val="bottom"/>
            <w:tcBorders>
              <w:right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1,822,293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-3881755</wp:posOffset>
            </wp:positionV>
            <wp:extent cx="6731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-3881755</wp:posOffset>
            </wp:positionV>
            <wp:extent cx="7493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-3446145</wp:posOffset>
            </wp:positionV>
            <wp:extent cx="6731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-3446145</wp:posOffset>
            </wp:positionV>
            <wp:extent cx="7493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-1524000</wp:posOffset>
            </wp:positionV>
            <wp:extent cx="6731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-1524000</wp:posOffset>
            </wp:positionV>
            <wp:extent cx="7493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-1298575</wp:posOffset>
            </wp:positionV>
            <wp:extent cx="6731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-1298575</wp:posOffset>
            </wp:positionV>
            <wp:extent cx="7493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-1058545</wp:posOffset>
            </wp:positionV>
            <wp:extent cx="673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-1058545</wp:posOffset>
            </wp:positionV>
            <wp:extent cx="7493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-833120</wp:posOffset>
            </wp:positionV>
            <wp:extent cx="673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-817880</wp:posOffset>
            </wp:positionV>
            <wp:extent cx="6731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-833120</wp:posOffset>
            </wp:positionV>
            <wp:extent cx="7493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-817880</wp:posOffset>
            </wp:positionV>
            <wp:extent cx="7493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-577850</wp:posOffset>
            </wp:positionV>
            <wp:extent cx="6731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-562610</wp:posOffset>
            </wp:positionV>
            <wp:extent cx="6731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-577850</wp:posOffset>
            </wp:positionV>
            <wp:extent cx="7493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-562610</wp:posOffset>
            </wp:positionV>
            <wp:extent cx="7493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-344805</wp:posOffset>
            </wp:positionV>
            <wp:extent cx="6731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-344805</wp:posOffset>
            </wp:positionV>
            <wp:extent cx="7493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 (continued)</w:t>
      </w:r>
    </w:p>
    <w:p>
      <w:pPr>
        <w:jc w:val="center"/>
        <w:ind w:right="20"/>
        <w:spacing w:after="0" w:line="232" w:lineRule="auto"/>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3"/>
                <w:szCs w:val="13"/>
                <w:b w:val="1"/>
                <w:bCs w:val="1"/>
                <w:color w:val="auto"/>
                <w:w w:val="97"/>
              </w:rPr>
              <w:t>Successor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Arial" w:cs="Arial" w:eastAsia="Arial" w:hAnsi="Arial"/>
                <w:sz w:val="13"/>
                <w:szCs w:val="13"/>
                <w:b w:val="1"/>
                <w:bCs w:val="1"/>
                <w:color w:val="auto"/>
              </w:rPr>
              <w:t>Predecessor</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ind w:right="90"/>
              <w:spacing w:after="0" w:line="126" w:lineRule="exact"/>
              <w:rPr>
                <w:sz w:val="20"/>
                <w:szCs w:val="20"/>
                <w:color w:val="auto"/>
              </w:rPr>
            </w:pPr>
            <w:r>
              <w:rPr>
                <w:rFonts w:ascii="Arial" w:cs="Arial" w:eastAsia="Arial" w:hAnsi="Arial"/>
                <w:sz w:val="13"/>
                <w:szCs w:val="13"/>
                <w:b w:val="1"/>
                <w:bCs w:val="1"/>
                <w:color w:val="auto"/>
                <w:w w:val="96"/>
              </w:rPr>
              <w:t>Period from January 15</w:t>
            </w:r>
          </w:p>
        </w:tc>
        <w:tc>
          <w:tcPr>
            <w:tcW w:w="2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Borders>
              <w:top w:val="single" w:sz="8" w:color="auto"/>
            </w:tcBorders>
            <w:gridSpan w:val="3"/>
          </w:tcPr>
          <w:p>
            <w:pPr>
              <w:ind w:left="20"/>
              <w:spacing w:after="0" w:line="126" w:lineRule="exact"/>
              <w:rPr>
                <w:sz w:val="20"/>
                <w:szCs w:val="20"/>
                <w:color w:val="auto"/>
              </w:rPr>
            </w:pPr>
            <w:r>
              <w:rPr>
                <w:rFonts w:ascii="Arial" w:cs="Arial" w:eastAsia="Arial" w:hAnsi="Arial"/>
                <w:sz w:val="13"/>
                <w:szCs w:val="13"/>
                <w:b w:val="1"/>
                <w:bCs w:val="1"/>
                <w:color w:val="auto"/>
              </w:rPr>
              <w:t>Period from January 1</w:t>
            </w:r>
          </w:p>
        </w:tc>
        <w:tc>
          <w:tcPr>
            <w:tcW w:w="3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70"/>
              <w:spacing w:after="0" w:line="126" w:lineRule="exact"/>
              <w:rPr>
                <w:sz w:val="20"/>
                <w:szCs w:val="20"/>
                <w:color w:val="auto"/>
              </w:rPr>
            </w:pPr>
            <w:r>
              <w:rPr>
                <w:rFonts w:ascii="Arial" w:cs="Arial" w:eastAsia="Arial" w:hAnsi="Arial"/>
                <w:sz w:val="13"/>
                <w:szCs w:val="13"/>
                <w:b w:val="1"/>
                <w:bCs w:val="1"/>
                <w:color w:val="auto"/>
                <w:w w:val="97"/>
              </w:rPr>
              <w:t>Year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97"/>
              </w:rPr>
              <w:t>through December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6"/>
              </w:rPr>
              <w:t>through January 14,</w:t>
            </w:r>
          </w:p>
        </w:tc>
        <w:tc>
          <w:tcPr>
            <w:tcW w:w="340" w:type="dxa"/>
            <w:vAlign w:val="bottom"/>
          </w:tcPr>
          <w:p>
            <w:pPr>
              <w:spacing w:after="0"/>
              <w:rPr>
                <w:sz w:val="13"/>
                <w:szCs w:val="13"/>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center"/>
              <w:ind w:right="50"/>
              <w:spacing w:after="0" w:line="146" w:lineRule="exact"/>
              <w:rPr>
                <w:sz w:val="20"/>
                <w:szCs w:val="20"/>
                <w:color w:val="auto"/>
              </w:rPr>
            </w:pPr>
            <w:r>
              <w:rPr>
                <w:rFonts w:ascii="Arial" w:cs="Arial" w:eastAsia="Arial" w:hAnsi="Arial"/>
                <w:sz w:val="13"/>
                <w:szCs w:val="13"/>
                <w:b w:val="1"/>
                <w:bCs w:val="1"/>
                <w:color w:val="auto"/>
                <w:w w:val="96"/>
              </w:rPr>
              <w:t>2025</w:t>
            </w:r>
          </w:p>
        </w:tc>
        <w:tc>
          <w:tcPr>
            <w:tcW w:w="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90"/>
              <w:spacing w:after="0" w:line="146" w:lineRule="exact"/>
              <w:rPr>
                <w:sz w:val="20"/>
                <w:szCs w:val="20"/>
                <w:color w:val="auto"/>
              </w:rPr>
            </w:pPr>
            <w:r>
              <w:rPr>
                <w:rFonts w:ascii="Arial" w:cs="Arial" w:eastAsia="Arial" w:hAnsi="Arial"/>
                <w:sz w:val="13"/>
                <w:szCs w:val="13"/>
                <w:b w:val="1"/>
                <w:bCs w:val="1"/>
                <w:color w:val="auto"/>
              </w:rPr>
              <w:t>2025</w:t>
            </w:r>
          </w:p>
        </w:tc>
        <w:tc>
          <w:tcPr>
            <w:tcW w:w="2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250"/>
              <w:spacing w:after="0" w:line="146" w:lineRule="exact"/>
              <w:rPr>
                <w:sz w:val="20"/>
                <w:szCs w:val="20"/>
                <w:color w:val="auto"/>
              </w:rPr>
            </w:pPr>
            <w:r>
              <w:rPr>
                <w:rFonts w:ascii="Arial" w:cs="Arial" w:eastAsia="Arial" w:hAnsi="Arial"/>
                <w:sz w:val="13"/>
                <w:szCs w:val="13"/>
                <w:b w:val="1"/>
                <w:bCs w:val="1"/>
                <w:color w:val="auto"/>
                <w:w w:val="96"/>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171,650</w:t>
            </w:r>
          </w:p>
        </w:tc>
        <w:tc>
          <w:tcPr>
            <w:tcW w:w="28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7,183</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89"/>
              <w:spacing w:after="0" w:line="157"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201,833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8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17,584</w:t>
            </w: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1,017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29,276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Securitization debt</w:t>
            </w:r>
          </w:p>
        </w:tc>
        <w:tc>
          <w:tcPr>
            <w:tcW w:w="10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32,966</w:t>
            </w:r>
          </w:p>
        </w:tc>
        <w:tc>
          <w:tcPr>
            <w:tcW w:w="280" w:type="dxa"/>
            <w:vAlign w:val="bottom"/>
            <w:tcBorders>
              <w:bottom w:val="single" w:sz="8" w:color="CFF0FC"/>
              <w:right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1,178</w:t>
            </w:r>
          </w:p>
        </w:tc>
        <w:tc>
          <w:tcPr>
            <w:tcW w:w="2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30,084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spacing w:after="0" w:line="157" w:lineRule="exact"/>
              <w:rPr>
                <w:sz w:val="20"/>
                <w:szCs w:val="20"/>
                <w:color w:val="auto"/>
              </w:rPr>
            </w:pPr>
            <w:r>
              <w:rPr>
                <w:rFonts w:ascii="Arial" w:cs="Arial" w:eastAsia="Arial" w:hAnsi="Arial"/>
                <w:sz w:val="14"/>
                <w:szCs w:val="14"/>
                <w:color w:val="auto"/>
              </w:rPr>
              <w:t>Total interest expense</w:t>
            </w: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50,550</w:t>
            </w:r>
          </w:p>
        </w:tc>
        <w:tc>
          <w:tcPr>
            <w:tcW w:w="2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2,195</w:t>
            </w: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59,360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121,100</w:t>
            </w:r>
          </w:p>
        </w:tc>
        <w:tc>
          <w:tcPr>
            <w:tcW w:w="28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4,988</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142,473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10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97,259</w:t>
            </w:r>
          </w:p>
        </w:tc>
        <w:tc>
          <w:tcPr>
            <w:tcW w:w="280" w:type="dxa"/>
            <w:vAlign w:val="bottom"/>
            <w:tcBorders>
              <w:bottom w:val="single" w:sz="8" w:color="CFF0FC"/>
              <w:right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6,792</w:t>
            </w:r>
          </w:p>
        </w:tc>
        <w:tc>
          <w:tcPr>
            <w:tcW w:w="2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119,868</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spacing w:after="0" w:line="157" w:lineRule="exact"/>
              <w:rPr>
                <w:sz w:val="20"/>
                <w:szCs w:val="20"/>
                <w:color w:val="auto"/>
              </w:rPr>
            </w:pPr>
            <w:r>
              <w:rPr>
                <w:rFonts w:ascii="Arial" w:cs="Arial" w:eastAsia="Arial" w:hAnsi="Arial"/>
                <w:sz w:val="14"/>
                <w:szCs w:val="14"/>
                <w:color w:val="auto"/>
              </w:rPr>
              <w:t>Net interest income (loss) after losses and recoveries</w:t>
            </w:r>
          </w:p>
        </w:tc>
        <w:tc>
          <w:tcPr>
            <w:tcW w:w="100" w:type="dxa"/>
            <w:vAlign w:val="bottom"/>
          </w:tcPr>
          <w:p>
            <w:pPr>
              <w:spacing w:after="0"/>
              <w:rPr>
                <w:sz w:val="13"/>
                <w:szCs w:val="13"/>
                <w:color w:val="auto"/>
              </w:rPr>
            </w:pPr>
          </w:p>
        </w:tc>
        <w:tc>
          <w:tcPr>
            <w:tcW w:w="1560" w:type="dxa"/>
            <w:vAlign w:val="bottom"/>
          </w:tcPr>
          <w:p>
            <w:pPr>
              <w:jc w:val="right"/>
              <w:spacing w:after="0" w:line="157" w:lineRule="exact"/>
              <w:rPr>
                <w:sz w:val="20"/>
                <w:szCs w:val="20"/>
                <w:color w:val="auto"/>
              </w:rPr>
            </w:pPr>
            <w:r>
              <w:rPr>
                <w:rFonts w:ascii="Arial" w:cs="Arial" w:eastAsia="Arial" w:hAnsi="Arial"/>
                <w:sz w:val="14"/>
                <w:szCs w:val="14"/>
                <w:color w:val="auto"/>
              </w:rPr>
              <w:t>23,841</w:t>
            </w:r>
          </w:p>
        </w:tc>
        <w:tc>
          <w:tcPr>
            <w:tcW w:w="2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(1,804)</w:t>
            </w:r>
          </w:p>
        </w:tc>
        <w:tc>
          <w:tcPr>
            <w:tcW w:w="3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22,605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8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28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Noninterest income:</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Servicing income</w:t>
            </w: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4,690</w:t>
            </w:r>
          </w:p>
        </w:tc>
        <w:tc>
          <w:tcPr>
            <w:tcW w:w="28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Warranties and GAP income (loss), net</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14,466</w:t>
            </w: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(2,610)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CarStory revenue</w:t>
            </w: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6,914</w:t>
            </w:r>
          </w:p>
        </w:tc>
        <w:tc>
          <w:tcPr>
            <w:tcW w:w="28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10,377</w:t>
            </w: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noninterest income</w:t>
            </w:r>
          </w:p>
        </w:tc>
        <w:tc>
          <w:tcPr>
            <w:tcW w:w="1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36,447</w:t>
            </w:r>
          </w:p>
        </w:tc>
        <w:tc>
          <w:tcPr>
            <w:tcW w:w="28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1,044</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26,351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8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70,222</w:t>
            </w: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2,823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97,293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11,871</w:t>
            </w:r>
          </w:p>
        </w:tc>
        <w:tc>
          <w:tcPr>
            <w:tcW w:w="28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Software and IT costs</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11,869</w:t>
            </w: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3,350</w:t>
            </w:r>
          </w:p>
        </w:tc>
        <w:tc>
          <w:tcPr>
            <w:tcW w:w="28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Interest expense on corporate debt</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2,797</w:t>
            </w: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176</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Impairment charges</w:t>
            </w: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28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9,775</w:t>
            </w:r>
          </w:p>
        </w:tc>
        <w:tc>
          <w:tcPr>
            <w:tcW w:w="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Total expenses</w:t>
            </w:r>
          </w:p>
        </w:tc>
        <w:tc>
          <w:tcPr>
            <w:tcW w:w="10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114,040</w:t>
            </w:r>
          </w:p>
        </w:tc>
        <w:tc>
          <w:tcPr>
            <w:tcW w:w="280" w:type="dxa"/>
            <w:vAlign w:val="bottom"/>
            <w:tcBorders>
              <w:bottom w:val="single" w:sz="8" w:color="CFF0FC"/>
              <w:right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5,181</w:t>
            </w:r>
          </w:p>
        </w:tc>
        <w:tc>
          <w:tcPr>
            <w:tcW w:w="2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180,776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Loss from continuing operations before reorganization items and provision for income taxes</w:t>
            </w:r>
          </w:p>
        </w:tc>
        <w:tc>
          <w:tcPr>
            <w:tcW w:w="100" w:type="dxa"/>
            <w:vAlign w:val="bottom"/>
            <w:shd w:val="clear" w:color="auto" w:fill="CFF0FC"/>
          </w:tcPr>
          <w:p>
            <w:pPr>
              <w:spacing w:after="0"/>
              <w:rPr>
                <w:sz w:val="13"/>
                <w:szCs w:val="13"/>
                <w:color w:val="auto"/>
              </w:rPr>
            </w:pPr>
          </w:p>
        </w:tc>
        <w:tc>
          <w:tcPr>
            <w:tcW w:w="1840" w:type="dxa"/>
            <w:vAlign w:val="bottom"/>
            <w:tcBorders>
              <w:right w:val="single" w:sz="8" w:color="auto"/>
            </w:tcBorders>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(53,752)</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(5,941)</w:t>
            </w:r>
          </w:p>
        </w:tc>
        <w:tc>
          <w:tcPr>
            <w:tcW w:w="34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(131,820)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ind w:left="20"/>
              <w:spacing w:after="0" w:line="157" w:lineRule="exact"/>
              <w:rPr>
                <w:sz w:val="20"/>
                <w:szCs w:val="20"/>
                <w:color w:val="auto"/>
              </w:rPr>
            </w:pPr>
            <w:r>
              <w:rPr>
                <w:rFonts w:ascii="Arial" w:cs="Arial" w:eastAsia="Arial" w:hAnsi="Arial"/>
                <w:sz w:val="14"/>
                <w:szCs w:val="14"/>
                <w:color w:val="auto"/>
              </w:rPr>
              <w:t>Reorganization items, net</w:t>
            </w:r>
          </w:p>
        </w:tc>
        <w:tc>
          <w:tcPr>
            <w:tcW w:w="100" w:type="dxa"/>
            <w:vAlign w:val="bottom"/>
          </w:tcPr>
          <w:p>
            <w:pPr>
              <w:spacing w:after="0"/>
              <w:rPr>
                <w:sz w:val="13"/>
                <w:szCs w:val="13"/>
                <w:color w:val="auto"/>
              </w:rPr>
            </w:pPr>
          </w:p>
        </w:tc>
        <w:tc>
          <w:tcPr>
            <w:tcW w:w="1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spacing w:after="0" w:line="157" w:lineRule="exact"/>
              <w:rPr>
                <w:sz w:val="20"/>
                <w:szCs w:val="20"/>
                <w:color w:val="auto"/>
              </w:rPr>
            </w:pPr>
            <w:r>
              <w:rPr>
                <w:rFonts w:ascii="Arial" w:cs="Arial" w:eastAsia="Arial" w:hAnsi="Arial"/>
                <w:sz w:val="14"/>
                <w:szCs w:val="14"/>
                <w:color w:val="auto"/>
              </w:rPr>
              <w:t>51,036</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(5,564)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82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(Loss) income from continuing operations before provision for income taxes</w:t>
            </w:r>
          </w:p>
        </w:tc>
        <w:tc>
          <w:tcPr>
            <w:tcW w:w="100" w:type="dxa"/>
            <w:vAlign w:val="bottom"/>
            <w:shd w:val="clear" w:color="auto" w:fill="CFF0FC"/>
          </w:tcPr>
          <w:p>
            <w:pPr>
              <w:spacing w:after="0"/>
              <w:rPr>
                <w:sz w:val="13"/>
                <w:szCs w:val="13"/>
                <w:color w:val="auto"/>
              </w:rPr>
            </w:pPr>
          </w:p>
        </w:tc>
        <w:tc>
          <w:tcPr>
            <w:tcW w:w="1840" w:type="dxa"/>
            <w:vAlign w:val="bottom"/>
            <w:tcBorders>
              <w:right w:val="single" w:sz="8" w:color="auto"/>
            </w:tcBorders>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(53,752)</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45,095</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(137,384)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Borders>
              <w:top w:val="single" w:sz="8" w:color="CFF0FC"/>
            </w:tcBorders>
          </w:tcPr>
          <w:p>
            <w:pPr>
              <w:ind w:left="20"/>
              <w:spacing w:after="0" w:line="157" w:lineRule="exact"/>
              <w:rPr>
                <w:sz w:val="20"/>
                <w:szCs w:val="20"/>
                <w:color w:val="auto"/>
              </w:rPr>
            </w:pPr>
            <w:r>
              <w:rPr>
                <w:rFonts w:ascii="Arial" w:cs="Arial" w:eastAsia="Arial" w:hAnsi="Arial"/>
                <w:sz w:val="14"/>
                <w:szCs w:val="14"/>
                <w:color w:val="auto"/>
              </w:rPr>
              <w:t>Provision for income taxes from continuing operations</w:t>
            </w:r>
          </w:p>
        </w:tc>
        <w:tc>
          <w:tcPr>
            <w:tcW w:w="1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294</w:t>
            </w:r>
          </w:p>
        </w:tc>
        <w:tc>
          <w:tcPr>
            <w:tcW w:w="280" w:type="dxa"/>
            <w:vAlign w:val="bottom"/>
            <w:tcBorders>
              <w:top w:val="single" w:sz="8" w:color="CFF0FC"/>
              <w:right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5</w:t>
            </w:r>
          </w:p>
        </w:tc>
        <w:tc>
          <w:tcPr>
            <w:tcW w:w="2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856</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from continuing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(54,046)</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45,090</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(138,240)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5820" w:type="dxa"/>
            <w:vAlign w:val="bottom"/>
          </w:tcPr>
          <w:p>
            <w:pPr>
              <w:ind w:left="20"/>
              <w:spacing w:after="0" w:line="141" w:lineRule="exact"/>
              <w:rPr>
                <w:sz w:val="20"/>
                <w:szCs w:val="20"/>
                <w:color w:val="auto"/>
              </w:rPr>
            </w:pPr>
            <w:r>
              <w:rPr>
                <w:rFonts w:ascii="Arial" w:cs="Arial" w:eastAsia="Arial" w:hAnsi="Arial"/>
                <w:sz w:val="14"/>
                <w:szCs w:val="14"/>
                <w:color w:val="auto"/>
              </w:rPr>
              <w:t>Net income (loss) from discontinued operations</w:t>
            </w:r>
          </w:p>
        </w:tc>
        <w:tc>
          <w:tcPr>
            <w:tcW w:w="100" w:type="dxa"/>
            <w:vAlign w:val="bottom"/>
          </w:tcPr>
          <w:p>
            <w:pPr>
              <w:spacing w:after="0"/>
              <w:rPr>
                <w:sz w:val="12"/>
                <w:szCs w:val="12"/>
                <w:color w:val="auto"/>
              </w:rPr>
            </w:pPr>
          </w:p>
        </w:tc>
        <w:tc>
          <w:tcPr>
            <w:tcW w:w="1560" w:type="dxa"/>
            <w:vAlign w:val="bottom"/>
          </w:tcPr>
          <w:p>
            <w:pPr>
              <w:jc w:val="right"/>
              <w:spacing w:after="0" w:line="141" w:lineRule="exact"/>
              <w:rPr>
                <w:sz w:val="20"/>
                <w:szCs w:val="20"/>
                <w:color w:val="auto"/>
              </w:rPr>
            </w:pPr>
            <w:r>
              <w:rPr>
                <w:rFonts w:ascii="Arial" w:cs="Arial" w:eastAsia="Arial" w:hAnsi="Arial"/>
                <w:sz w:val="14"/>
                <w:szCs w:val="14"/>
                <w:color w:val="auto"/>
              </w:rPr>
              <w:t>996</w:t>
            </w:r>
          </w:p>
        </w:tc>
        <w:tc>
          <w:tcPr>
            <w:tcW w:w="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(4)</w:t>
            </w:r>
          </w:p>
        </w:tc>
        <w:tc>
          <w:tcPr>
            <w:tcW w:w="340" w:type="dxa"/>
            <w:vAlign w:val="bottom"/>
          </w:tcPr>
          <w:p>
            <w:pPr>
              <w:jc w:val="right"/>
              <w:ind w:right="189"/>
              <w:spacing w:after="0" w:line="141"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(26,884)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Net (loss) income</w:t>
            </w:r>
          </w:p>
        </w:tc>
        <w:tc>
          <w:tcPr>
            <w:tcW w:w="10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w w:val="76"/>
              </w:rPr>
              <w:t>$</w:t>
            </w:r>
          </w:p>
        </w:tc>
        <w:tc>
          <w:tcPr>
            <w:tcW w:w="1840" w:type="dxa"/>
            <w:vAlign w:val="bottom"/>
            <w:tcBorders>
              <w:right w:val="single" w:sz="8" w:color="auto"/>
            </w:tcBorders>
            <w:gridSpan w:val="2"/>
            <w:shd w:val="clear" w:color="auto" w:fill="CFF0FC"/>
          </w:tcPr>
          <w:p>
            <w:pPr>
              <w:jc w:val="right"/>
              <w:ind w:right="240"/>
              <w:spacing w:after="0" w:line="141" w:lineRule="exact"/>
              <w:rPr>
                <w:sz w:val="20"/>
                <w:szCs w:val="20"/>
                <w:color w:val="auto"/>
              </w:rPr>
            </w:pPr>
            <w:r>
              <w:rPr>
                <w:rFonts w:ascii="Arial" w:cs="Arial" w:eastAsia="Arial" w:hAnsi="Arial"/>
                <w:sz w:val="14"/>
                <w:szCs w:val="14"/>
                <w:color w:val="auto"/>
              </w:rPr>
              <w:t>(53,050)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45,086</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9"/>
              <w:spacing w:after="0" w:line="141"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60"/>
              <w:spacing w:after="0" w:line="141" w:lineRule="exact"/>
              <w:rPr>
                <w:sz w:val="20"/>
                <w:szCs w:val="20"/>
                <w:color w:val="auto"/>
              </w:rPr>
            </w:pPr>
            <w:r>
              <w:rPr>
                <w:rFonts w:ascii="Arial" w:cs="Arial" w:eastAsia="Arial" w:hAnsi="Arial"/>
                <w:sz w:val="14"/>
                <w:szCs w:val="14"/>
                <w:color w:val="auto"/>
              </w:rPr>
              <w:t>(165,124)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-3303905</wp:posOffset>
            </wp:positionV>
            <wp:extent cx="7493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-3303905</wp:posOffset>
            </wp:positionV>
            <wp:extent cx="6731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-3303905</wp:posOffset>
            </wp:positionV>
            <wp:extent cx="6731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-2868295</wp:posOffset>
            </wp:positionV>
            <wp:extent cx="7493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-2868295</wp:posOffset>
            </wp:positionV>
            <wp:extent cx="673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-2868295</wp:posOffset>
            </wp:positionV>
            <wp:extent cx="6731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-945515</wp:posOffset>
            </wp:positionV>
            <wp:extent cx="7493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-945515</wp:posOffset>
            </wp:positionV>
            <wp:extent cx="6731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-945515</wp:posOffset>
            </wp:positionV>
            <wp:extent cx="6731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-720090</wp:posOffset>
            </wp:positionV>
            <wp:extent cx="7493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-720090</wp:posOffset>
            </wp:positionV>
            <wp:extent cx="6731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-720090</wp:posOffset>
            </wp:positionV>
            <wp:extent cx="6731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-495300</wp:posOffset>
            </wp:positionV>
            <wp:extent cx="7493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-495300</wp:posOffset>
            </wp:positionV>
            <wp:extent cx="6731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-495300</wp:posOffset>
            </wp:positionV>
            <wp:extent cx="6731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-277495</wp:posOffset>
            </wp:positionV>
            <wp:extent cx="7493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-262255</wp:posOffset>
            </wp:positionV>
            <wp:extent cx="7493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-277495</wp:posOffset>
            </wp:positionV>
            <wp:extent cx="6731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-262255</wp:posOffset>
            </wp:positionV>
            <wp:extent cx="6731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-277495</wp:posOffset>
            </wp:positionV>
            <wp:extent cx="6731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-262255</wp:posOffset>
            </wp:positionV>
            <wp:extent cx="6731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-21590</wp:posOffset>
            </wp:positionV>
            <wp:extent cx="7493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-6985</wp:posOffset>
            </wp:positionV>
            <wp:extent cx="7493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-21590</wp:posOffset>
            </wp:positionV>
            <wp:extent cx="6731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-6985</wp:posOffset>
            </wp:positionV>
            <wp:extent cx="6731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7" w:right="31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per share attributable to common stockholders,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49465" cy="1054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054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auto"/>
        </w:rPr>
        <w:t>Continuing operations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49465" cy="1276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Basic</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per share attributable to common stockholders,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149465" cy="1054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054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auto"/>
        </w:rPr>
        <w:t>Continuing operations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49465" cy="1276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Diluted</w:t>
      </w:r>
    </w:p>
    <w:p>
      <w:pPr>
        <w:spacing w:after="0" w:line="19" w:lineRule="exact"/>
        <w:rPr>
          <w:sz w:val="20"/>
          <w:szCs w:val="20"/>
          <w:color w:val="auto"/>
        </w:rPr>
      </w:pPr>
    </w:p>
    <w:p>
      <w:pPr>
        <w:ind w:right="160" w:firstLine="39"/>
        <w:spacing w:after="0" w:line="246" w:lineRule="auto"/>
        <w:rPr>
          <w:sz w:val="20"/>
          <w:szCs w:val="20"/>
          <w:color w:val="auto"/>
        </w:rPr>
      </w:pPr>
      <w:r>
        <w:rPr>
          <w:rFonts w:ascii="Arial" w:cs="Arial" w:eastAsia="Arial" w:hAnsi="Arial"/>
          <w:sz w:val="14"/>
          <w:szCs w:val="14"/>
          <w:color w:val="auto"/>
        </w:rPr>
        <w:t>Weighted-average number of shares outstanding used to compute net (loss) income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49465" cy="1054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054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auto"/>
        </w:rPr>
        <w:t>Basic</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Diluted</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18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7"/>
              </w:rPr>
              <w:t>Successor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b w:val="1"/>
                <w:bCs w:val="1"/>
                <w:color w:val="auto"/>
              </w:rPr>
              <w:t>Predecessor</w:t>
            </w: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26"/>
        </w:trPr>
        <w:tc>
          <w:tcPr>
            <w:tcW w:w="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ind w:right="52"/>
              <w:spacing w:after="0" w:line="126" w:lineRule="exact"/>
              <w:rPr>
                <w:sz w:val="20"/>
                <w:szCs w:val="20"/>
                <w:color w:val="auto"/>
              </w:rPr>
            </w:pPr>
            <w:r>
              <w:rPr>
                <w:rFonts w:ascii="Arial" w:cs="Arial" w:eastAsia="Arial" w:hAnsi="Arial"/>
                <w:sz w:val="13"/>
                <w:szCs w:val="13"/>
                <w:b w:val="1"/>
                <w:bCs w:val="1"/>
                <w:color w:val="auto"/>
                <w:w w:val="96"/>
              </w:rPr>
              <w:t>Period from January 15</w:t>
            </w: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3"/>
                <w:szCs w:val="13"/>
                <w:b w:val="1"/>
                <w:bCs w:val="1"/>
                <w:color w:val="auto"/>
              </w:rPr>
              <w:t>Period from January 1</w:t>
            </w:r>
          </w:p>
        </w:tc>
        <w:tc>
          <w:tcPr>
            <w:tcW w:w="3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71"/>
              <w:spacing w:after="0" w:line="126" w:lineRule="exact"/>
              <w:rPr>
                <w:sz w:val="20"/>
                <w:szCs w:val="20"/>
                <w:color w:val="auto"/>
              </w:rPr>
            </w:pPr>
            <w:r>
              <w:rPr>
                <w:rFonts w:ascii="Arial" w:cs="Arial" w:eastAsia="Arial" w:hAnsi="Arial"/>
                <w:sz w:val="13"/>
                <w:szCs w:val="13"/>
                <w:b w:val="1"/>
                <w:bCs w:val="1"/>
                <w:color w:val="auto"/>
                <w:w w:val="97"/>
              </w:rPr>
              <w:t>Year Ended</w:t>
            </w:r>
          </w:p>
        </w:tc>
        <w:tc>
          <w:tcPr>
            <w:tcW w:w="60" w:type="dxa"/>
            <w:vAlign w:val="bottom"/>
          </w:tcPr>
          <w:p>
            <w:pPr>
              <w:spacing w:after="0"/>
              <w:rPr>
                <w:sz w:val="10"/>
                <w:szCs w:val="10"/>
                <w:color w:val="auto"/>
              </w:rPr>
            </w:pPr>
          </w:p>
        </w:tc>
      </w:tr>
      <w:tr>
        <w:trPr>
          <w:trHeight w:val="150"/>
        </w:trPr>
        <w:tc>
          <w:tcPr>
            <w:tcW w:w="80" w:type="dxa"/>
            <w:vAlign w:val="bottom"/>
          </w:tcPr>
          <w:p>
            <w:pPr>
              <w:spacing w:after="0"/>
              <w:rPr>
                <w:sz w:val="13"/>
                <w:szCs w:val="13"/>
                <w:color w:val="auto"/>
              </w:rPr>
            </w:pPr>
          </w:p>
        </w:tc>
        <w:tc>
          <w:tcPr>
            <w:tcW w:w="18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6"/>
              </w:rPr>
              <w:t>through 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4"/>
              </w:rPr>
              <w:t>through January 14,</w:t>
            </w:r>
          </w:p>
        </w:tc>
        <w:tc>
          <w:tcPr>
            <w:tcW w:w="34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December 31,</w:t>
            </w:r>
          </w:p>
        </w:tc>
      </w:tr>
      <w:tr>
        <w:trPr>
          <w:trHeight w:val="146"/>
        </w:trPr>
        <w:tc>
          <w:tcPr>
            <w:tcW w:w="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center"/>
              <w:ind w:right="12"/>
              <w:spacing w:after="0" w:line="146" w:lineRule="exact"/>
              <w:rPr>
                <w:sz w:val="20"/>
                <w:szCs w:val="20"/>
                <w:color w:val="auto"/>
              </w:rPr>
            </w:pPr>
            <w:r>
              <w:rPr>
                <w:rFonts w:ascii="Arial" w:cs="Arial" w:eastAsia="Arial" w:hAnsi="Arial"/>
                <w:sz w:val="13"/>
                <w:szCs w:val="13"/>
                <w:b w:val="1"/>
                <w:bCs w:val="1"/>
                <w:color w:val="auto"/>
                <w:w w:val="96"/>
              </w:rPr>
              <w:t>2025</w:t>
            </w:r>
          </w:p>
        </w:tc>
        <w:tc>
          <w:tcPr>
            <w:tcW w:w="2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91"/>
              <w:spacing w:after="0" w:line="146" w:lineRule="exact"/>
              <w:rPr>
                <w:sz w:val="20"/>
                <w:szCs w:val="20"/>
                <w:color w:val="auto"/>
              </w:rPr>
            </w:pPr>
            <w:r>
              <w:rPr>
                <w:rFonts w:ascii="Arial" w:cs="Arial" w:eastAsia="Arial" w:hAnsi="Arial"/>
                <w:sz w:val="13"/>
                <w:szCs w:val="13"/>
                <w:b w:val="1"/>
                <w:bCs w:val="1"/>
                <w:color w:val="auto"/>
              </w:rPr>
              <w:t>2025</w:t>
            </w:r>
          </w:p>
        </w:tc>
        <w:tc>
          <w:tcPr>
            <w:tcW w:w="2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251"/>
              <w:spacing w:after="0" w:line="146" w:lineRule="exact"/>
              <w:rPr>
                <w:sz w:val="20"/>
                <w:szCs w:val="20"/>
                <w:color w:val="auto"/>
              </w:rPr>
            </w:pPr>
            <w:r>
              <w:rPr>
                <w:rFonts w:ascii="Arial" w:cs="Arial" w:eastAsia="Arial" w:hAnsi="Arial"/>
                <w:sz w:val="13"/>
                <w:szCs w:val="13"/>
                <w:b w:val="1"/>
                <w:bCs w:val="1"/>
                <w:color w:val="auto"/>
                <w:w w:val="96"/>
              </w:rPr>
              <w:t>2024</w:t>
            </w:r>
          </w:p>
        </w:tc>
        <w:tc>
          <w:tcPr>
            <w:tcW w:w="60" w:type="dxa"/>
            <w:vAlign w:val="bottom"/>
          </w:tcPr>
          <w:p>
            <w:pPr>
              <w:spacing w:after="0"/>
              <w:rPr>
                <w:sz w:val="12"/>
                <w:szCs w:val="12"/>
                <w:color w:val="auto"/>
              </w:rPr>
            </w:pPr>
          </w:p>
        </w:tc>
      </w:tr>
      <w:tr>
        <w:trPr>
          <w:trHeight w:val="311"/>
        </w:trPr>
        <w:tc>
          <w:tcPr>
            <w:tcW w:w="80" w:type="dxa"/>
            <w:vAlign w:val="bottom"/>
          </w:tcPr>
          <w:p>
            <w:pPr>
              <w:spacing w:after="0"/>
              <w:rPr>
                <w:sz w:val="24"/>
                <w:szCs w:val="24"/>
                <w:color w:val="auto"/>
              </w:rPr>
            </w:pPr>
          </w:p>
        </w:tc>
        <w:tc>
          <w:tcPr>
            <w:tcW w:w="1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(10.43)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24.74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(76.24)</w:t>
            </w:r>
          </w:p>
        </w:tc>
      </w:tr>
      <w:tr>
        <w:trPr>
          <w:trHeight w:val="178"/>
        </w:trPr>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0.19</w:t>
            </w:r>
          </w:p>
        </w:tc>
        <w:tc>
          <w:tcPr>
            <w:tcW w:w="2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(0.00)</w:t>
            </w:r>
          </w:p>
        </w:tc>
        <w:tc>
          <w:tcPr>
            <w:tcW w:w="3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(14.83)</w:t>
            </w:r>
          </w:p>
        </w:tc>
      </w:tr>
      <w:tr>
        <w:trPr>
          <w:trHeight w:val="157"/>
        </w:trPr>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(10.24)</w:t>
            </w:r>
          </w:p>
        </w:tc>
        <w:tc>
          <w:tcPr>
            <w:tcW w:w="2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7"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24.74</w:t>
            </w:r>
          </w:p>
        </w:tc>
        <w:tc>
          <w:tcPr>
            <w:tcW w:w="2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(91.07)</w:t>
            </w:r>
          </w:p>
        </w:tc>
        <w:tc>
          <w:tcPr>
            <w:tcW w:w="60" w:type="dxa"/>
            <w:vAlign w:val="bottom"/>
          </w:tcPr>
          <w:p>
            <w:pPr>
              <w:spacing w:after="0"/>
              <w:rPr>
                <w:sz w:val="13"/>
                <w:szCs w:val="13"/>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4"/>
        </w:trPr>
        <w:tc>
          <w:tcPr>
            <w:tcW w:w="80" w:type="dxa"/>
            <w:vAlign w:val="bottom"/>
          </w:tcPr>
          <w:p>
            <w:pPr>
              <w:spacing w:after="0"/>
              <w:rPr>
                <w:sz w:val="24"/>
                <w:szCs w:val="24"/>
                <w:color w:val="auto"/>
              </w:rPr>
            </w:pPr>
          </w:p>
        </w:tc>
        <w:tc>
          <w:tcPr>
            <w:tcW w:w="1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(10.43)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23.89</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(76.24)</w:t>
            </w:r>
          </w:p>
        </w:tc>
      </w:tr>
      <w:tr>
        <w:trPr>
          <w:trHeight w:val="178"/>
        </w:trPr>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0.19</w:t>
            </w:r>
          </w:p>
        </w:tc>
        <w:tc>
          <w:tcPr>
            <w:tcW w:w="2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(0.00)</w:t>
            </w:r>
          </w:p>
        </w:tc>
        <w:tc>
          <w:tcPr>
            <w:tcW w:w="3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(14.83)</w:t>
            </w:r>
          </w:p>
        </w:tc>
      </w:tr>
      <w:tr>
        <w:trPr>
          <w:trHeight w:val="157"/>
        </w:trPr>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(10.24)</w:t>
            </w:r>
          </w:p>
        </w:tc>
        <w:tc>
          <w:tcPr>
            <w:tcW w:w="2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7"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23.89</w:t>
            </w:r>
          </w:p>
        </w:tc>
        <w:tc>
          <w:tcPr>
            <w:tcW w:w="2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(91.07)</w:t>
            </w:r>
          </w:p>
        </w:tc>
        <w:tc>
          <w:tcPr>
            <w:tcW w:w="60" w:type="dxa"/>
            <w:vAlign w:val="bottom"/>
          </w:tcPr>
          <w:p>
            <w:pPr>
              <w:spacing w:after="0"/>
              <w:rPr>
                <w:sz w:val="13"/>
                <w:szCs w:val="13"/>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0"/>
        </w:trPr>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5,184,175</w:t>
            </w:r>
          </w:p>
        </w:tc>
        <w:tc>
          <w:tcPr>
            <w:tcW w:w="2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1,822,541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1,813,168</w:t>
            </w:r>
          </w:p>
        </w:tc>
        <w:tc>
          <w:tcPr>
            <w:tcW w:w="60" w:type="dxa"/>
            <w:vAlign w:val="bottom"/>
          </w:tcPr>
          <w:p>
            <w:pPr>
              <w:spacing w:after="0"/>
              <w:rPr>
                <w:sz w:val="24"/>
                <w:szCs w:val="24"/>
                <w:color w:val="auto"/>
              </w:rPr>
            </w:pPr>
          </w:p>
        </w:tc>
      </w:tr>
      <w:tr>
        <w:trPr>
          <w:trHeight w:val="178"/>
        </w:trPr>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5,184,175</w:t>
            </w:r>
          </w:p>
        </w:tc>
        <w:tc>
          <w:tcPr>
            <w:tcW w:w="2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1,887,370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1,813,168</w:t>
            </w:r>
          </w:p>
        </w:tc>
        <w:tc>
          <w:tcPr>
            <w:tcW w:w="60" w:type="dxa"/>
            <w:vAlign w:val="bottom"/>
          </w:tcPr>
          <w:p>
            <w:pPr>
              <w:spacing w:after="0"/>
              <w:rPr>
                <w:sz w:val="15"/>
                <w:szCs w:val="15"/>
                <w:color w:val="auto"/>
              </w:rPr>
            </w:pPr>
          </w:p>
        </w:tc>
      </w:tr>
    </w:tbl>
    <w:p>
      <w:pPr>
        <w:sectPr>
          <w:pgSz w:w="11900" w:h="16838" w:orient="portrait"/>
          <w:cols w:equalWidth="0" w:num="2">
            <w:col w:w="5720" w:space="140"/>
            <w:col w:w="5340"/>
          </w:cols>
          <w:pgMar w:left="320" w:top="1074" w:right="37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3"/>
          <w:szCs w:val="13"/>
          <w:b w:val="1"/>
          <w:bCs w:val="1"/>
          <w:color w:val="auto"/>
        </w:rPr>
        <w:t>VROOM, INC.</w:t>
      </w:r>
    </w:p>
    <w:p>
      <w:pPr>
        <w:jc w:val="center"/>
        <w:ind w:right="20"/>
        <w:spacing w:after="0" w:line="234" w:lineRule="auto"/>
        <w:rPr>
          <w:sz w:val="20"/>
          <w:szCs w:val="20"/>
          <w:color w:val="auto"/>
        </w:rPr>
      </w:pPr>
      <w:r>
        <w:rPr>
          <w:rFonts w:ascii="Arial" w:cs="Arial" w:eastAsia="Arial" w:hAnsi="Arial"/>
          <w:sz w:val="13"/>
          <w:szCs w:val="13"/>
          <w:b w:val="1"/>
          <w:bCs w:val="1"/>
          <w:color w:val="auto"/>
        </w:rPr>
        <w:t>CONSOLIDATED STATEMENTS OF CASH FLOWS</w:t>
      </w:r>
    </w:p>
    <w:p>
      <w:pPr>
        <w:jc w:val="center"/>
        <w:ind w:right="20"/>
        <w:spacing w:after="0" w:line="222" w:lineRule="auto"/>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7"/>
              </w:rPr>
              <w:t>Successor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Predecessor</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520" w:type="dxa"/>
            <w:vAlign w:val="bottom"/>
            <w:tcBorders>
              <w:top w:val="single" w:sz="8" w:color="auto"/>
            </w:tcBorders>
            <w:gridSpan w:val="2"/>
          </w:tcPr>
          <w:p>
            <w:pPr>
              <w:jc w:val="right"/>
              <w:ind w:right="17"/>
              <w:spacing w:after="0" w:line="126" w:lineRule="exact"/>
              <w:rPr>
                <w:sz w:val="20"/>
                <w:szCs w:val="20"/>
                <w:color w:val="auto"/>
              </w:rPr>
            </w:pPr>
            <w:r>
              <w:rPr>
                <w:rFonts w:ascii="Arial" w:cs="Arial" w:eastAsia="Arial" w:hAnsi="Arial"/>
                <w:sz w:val="13"/>
                <w:szCs w:val="13"/>
                <w:b w:val="1"/>
                <w:bCs w:val="1"/>
                <w:color w:val="auto"/>
                <w:w w:val="98"/>
              </w:rPr>
              <w:t>Period from January 15</w:t>
            </w:r>
          </w:p>
        </w:tc>
        <w:tc>
          <w:tcPr>
            <w:tcW w:w="2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3"/>
                <w:szCs w:val="13"/>
                <w:b w:val="1"/>
                <w:bCs w:val="1"/>
                <w:color w:val="auto"/>
              </w:rPr>
              <w:t>Period from January 1</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97"/>
              <w:spacing w:after="0" w:line="126" w:lineRule="exact"/>
              <w:rPr>
                <w:sz w:val="20"/>
                <w:szCs w:val="20"/>
                <w:color w:val="auto"/>
              </w:rPr>
            </w:pPr>
            <w:r>
              <w:rPr>
                <w:rFonts w:ascii="Arial" w:cs="Arial" w:eastAsia="Arial" w:hAnsi="Arial"/>
                <w:sz w:val="13"/>
                <w:szCs w:val="13"/>
                <w:b w:val="1"/>
                <w:bCs w:val="1"/>
                <w:color w:val="auto"/>
                <w:w w:val="97"/>
              </w:rPr>
              <w:t>Year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7"/>
              </w:rPr>
              <w:t>through 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through January 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jc w:val="center"/>
              <w:ind w:right="17"/>
              <w:spacing w:after="0" w:line="134" w:lineRule="exact"/>
              <w:rPr>
                <w:sz w:val="20"/>
                <w:szCs w:val="20"/>
                <w:color w:val="auto"/>
              </w:rPr>
            </w:pPr>
            <w:r>
              <w:rPr>
                <w:rFonts w:ascii="Arial" w:cs="Arial" w:eastAsia="Arial" w:hAnsi="Arial"/>
                <w:sz w:val="13"/>
                <w:szCs w:val="13"/>
                <w:b w:val="1"/>
                <w:bCs w:val="1"/>
                <w:color w:val="auto"/>
                <w:w w:val="96"/>
              </w:rPr>
              <w:t>2025</w:t>
            </w: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497"/>
              <w:spacing w:after="0" w:line="134" w:lineRule="exact"/>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center"/>
              <w:ind w:right="217"/>
              <w:spacing w:after="0" w:line="134" w:lineRule="exact"/>
              <w:rPr>
                <w:sz w:val="20"/>
                <w:szCs w:val="20"/>
                <w:color w:val="auto"/>
              </w:rPr>
            </w:pPr>
            <w:r>
              <w:rPr>
                <w:rFonts w:ascii="Arial" w:cs="Arial" w:eastAsia="Arial" w:hAnsi="Arial"/>
                <w:sz w:val="13"/>
                <w:szCs w:val="13"/>
                <w:b w:val="1"/>
                <w:bCs w:val="1"/>
                <w:color w:val="auto"/>
                <w:w w:val="96"/>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00" w:type="dxa"/>
            <w:vAlign w:val="bottom"/>
            <w:shd w:val="clear" w:color="auto" w:fill="CFF0FC"/>
          </w:tcPr>
          <w:p>
            <w:pPr>
              <w:spacing w:after="0" w:line="134" w:lineRule="exact"/>
              <w:rPr>
                <w:sz w:val="20"/>
                <w:szCs w:val="20"/>
                <w:color w:val="auto"/>
              </w:rPr>
            </w:pPr>
            <w:r>
              <w:rPr>
                <w:rFonts w:ascii="Arial" w:cs="Arial" w:eastAsia="Arial" w:hAnsi="Arial"/>
                <w:sz w:val="13"/>
                <w:szCs w:val="13"/>
                <w:b w:val="1"/>
                <w:bCs w:val="1"/>
                <w:color w:val="auto"/>
              </w:rPr>
              <w:t>Operating activities</w:t>
            </w:r>
          </w:p>
        </w:tc>
        <w:tc>
          <w:tcPr>
            <w:tcW w:w="8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Net (loss) income from continuing operations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6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(54,046)</w:t>
            </w:r>
          </w:p>
        </w:tc>
        <w:tc>
          <w:tcPr>
            <w:tcW w:w="14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45,090</w:t>
            </w:r>
          </w:p>
        </w:tc>
        <w:tc>
          <w:tcPr>
            <w:tcW w:w="140" w:type="dxa"/>
            <w:vAlign w:val="bottom"/>
          </w:tcPr>
          <w:p>
            <w:pPr>
              <w:spacing w:after="0"/>
              <w:rPr>
                <w:sz w:val="12"/>
                <w:szCs w:val="12"/>
                <w:color w:val="auto"/>
              </w:rPr>
            </w:pPr>
          </w:p>
        </w:tc>
        <w:tc>
          <w:tcPr>
            <w:tcW w:w="36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(138,240)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Adjustments to reconcile net (loss) income to net cash used in operating activities:</w:t>
            </w: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Impairment charges</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4,156</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5,159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Profit share receivable</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(554)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11,643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3,350</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1,057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29,086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Amortization of debt issuance costs</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Losses on finance receivables and securitization debt, net</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108,467</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4,762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129,601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Losses on Warranties and GAP</w:t>
            </w: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7,000</w:t>
            </w:r>
          </w:p>
        </w:tc>
        <w:tc>
          <w:tcPr>
            <w:tcW w:w="2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407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8,020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Stock-based compensation expense</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5,181</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144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5,885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Provision to record finance receivables held for sale at lower of cost or fair value</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(4,618)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Amortization of unearned discounts on finance receivables at fair value</w:t>
            </w:r>
          </w:p>
        </w:tc>
        <w:tc>
          <w:tcPr>
            <w:tcW w:w="8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(416)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(15,924)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Non-cash reorganization items, net</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(51,741)</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Other, net</w:t>
            </w:r>
          </w:p>
        </w:tc>
        <w:tc>
          <w:tcPr>
            <w:tcW w:w="8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(909)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193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(4,595)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Changes in operating assets and liabilities:</w:t>
            </w: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i w:val="1"/>
                <w:iCs w:val="1"/>
                <w:color w:val="auto"/>
              </w:rPr>
              <w:t>Finance receivables, held for sale</w:t>
            </w: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Originations of finance receivables, held for sale</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(14,337)</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(404,203)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ind w:left="40"/>
              <w:spacing w:after="0" w:line="142" w:lineRule="exact"/>
              <w:rPr>
                <w:sz w:val="20"/>
                <w:szCs w:val="20"/>
                <w:color w:val="auto"/>
              </w:rPr>
            </w:pPr>
            <w:r>
              <w:rPr>
                <w:rFonts w:ascii="Arial" w:cs="Arial" w:eastAsia="Arial" w:hAnsi="Arial"/>
                <w:sz w:val="13"/>
                <w:szCs w:val="13"/>
                <w:color w:val="auto"/>
              </w:rPr>
              <w:t>Principal payments received on finance receivables, held for sale</w:t>
            </w:r>
          </w:p>
        </w:tc>
        <w:tc>
          <w:tcPr>
            <w:tcW w:w="8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6,481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186,799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169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1,642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Interest receivable</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1,397</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(164)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417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Other assets</w:t>
            </w: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7,116</w:t>
            </w:r>
          </w:p>
        </w:tc>
        <w:tc>
          <w:tcPr>
            <w:tcW w:w="2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5,178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15,323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Other liabilities</w:t>
            </w:r>
          </w:p>
        </w:tc>
        <w:tc>
          <w:tcPr>
            <w:tcW w:w="8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(3,565)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(2,627)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(8,461)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6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cash provided by (used in) operating activities from continuing operations</w:t>
            </w:r>
          </w:p>
        </w:tc>
        <w:tc>
          <w:tcPr>
            <w:tcW w:w="80" w:type="dxa"/>
            <w:vAlign w:val="bottom"/>
            <w:shd w:val="clear" w:color="auto" w:fill="CFF0FC"/>
          </w:tcPr>
          <w:p>
            <w:pPr>
              <w:spacing w:after="0"/>
              <w:rPr>
                <w:sz w:val="11"/>
                <w:szCs w:val="11"/>
                <w:color w:val="auto"/>
              </w:rPr>
            </w:pPr>
          </w:p>
        </w:tc>
        <w:tc>
          <w:tcPr>
            <w:tcW w:w="14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77,593</w:t>
            </w:r>
          </w:p>
        </w:tc>
        <w:tc>
          <w:tcPr>
            <w:tcW w:w="24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(5,804)</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(175,758)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Net cash (used in) provided by operating activities from discontinued operations</w:t>
            </w:r>
          </w:p>
        </w:tc>
        <w:tc>
          <w:tcPr>
            <w:tcW w:w="8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(2,439)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(207)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78,721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6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FF0FC"/>
          </w:tcPr>
          <w:p>
            <w:pPr>
              <w:spacing w:after="0"/>
              <w:rPr>
                <w:sz w:val="11"/>
                <w:szCs w:val="11"/>
                <w:color w:val="auto"/>
              </w:rPr>
            </w:pPr>
          </w:p>
        </w:tc>
        <w:tc>
          <w:tcPr>
            <w:tcW w:w="14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75,154</w:t>
            </w:r>
          </w:p>
        </w:tc>
        <w:tc>
          <w:tcPr>
            <w:tcW w:w="24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(6,011)</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(97,037)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b w:val="1"/>
                <w:bCs w:val="1"/>
                <w:color w:val="auto"/>
              </w:rPr>
              <w:t>Investing activities</w:t>
            </w: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i w:val="1"/>
                <w:iCs w:val="1"/>
                <w:color w:val="auto"/>
              </w:rPr>
              <w:t>Finance receivables, held for investment at fair value</w:t>
            </w: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ind w:left="40"/>
              <w:spacing w:after="0" w:line="142" w:lineRule="exact"/>
              <w:rPr>
                <w:sz w:val="20"/>
                <w:szCs w:val="20"/>
                <w:color w:val="auto"/>
              </w:rPr>
            </w:pPr>
            <w:r>
              <w:rPr>
                <w:rFonts w:ascii="Arial" w:cs="Arial" w:eastAsia="Arial" w:hAnsi="Arial"/>
                <w:sz w:val="13"/>
                <w:szCs w:val="13"/>
                <w:color w:val="auto"/>
              </w:rPr>
              <w:t>Purchases of finance receivables, held for investment at fair value</w:t>
            </w:r>
          </w:p>
        </w:tc>
        <w:tc>
          <w:tcPr>
            <w:tcW w:w="8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(419,742)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Principal payments received on finance receivables, held for investment at fair value</w:t>
            </w: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316,753</w:t>
            </w:r>
          </w:p>
        </w:tc>
        <w:tc>
          <w:tcPr>
            <w:tcW w:w="2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2,985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115,937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Principal payments received on beneficial interests</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1,240</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147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2,433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Purchase of property and equipment</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(7,061)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(151)</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(3,487)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6200" w:type="dxa"/>
            <w:vAlign w:val="bottom"/>
          </w:tcPr>
          <w:p>
            <w:pPr>
              <w:spacing w:after="0" w:line="134" w:lineRule="exact"/>
              <w:rPr>
                <w:sz w:val="20"/>
                <w:szCs w:val="20"/>
                <w:color w:val="auto"/>
              </w:rPr>
            </w:pPr>
            <w:r>
              <w:rPr>
                <w:rFonts w:ascii="Arial" w:cs="Arial" w:eastAsia="Arial" w:hAnsi="Arial"/>
                <w:sz w:val="13"/>
                <w:szCs w:val="13"/>
                <w:color w:val="auto"/>
              </w:rPr>
              <w:t>Net cash (used in) provided by investing activities from continuing operations</w:t>
            </w:r>
          </w:p>
        </w:tc>
        <w:tc>
          <w:tcPr>
            <w:tcW w:w="80" w:type="dxa"/>
            <w:vAlign w:val="bottom"/>
          </w:tcPr>
          <w:p>
            <w:pPr>
              <w:spacing w:after="0"/>
              <w:rPr>
                <w:sz w:val="11"/>
                <w:szCs w:val="11"/>
                <w:color w:val="auto"/>
              </w:rPr>
            </w:pPr>
          </w:p>
        </w:tc>
        <w:tc>
          <w:tcPr>
            <w:tcW w:w="1680" w:type="dxa"/>
            <w:vAlign w:val="bottom"/>
            <w:tcBorders>
              <w:right w:val="single" w:sz="8" w:color="auto"/>
            </w:tcBorders>
            <w:gridSpan w:val="2"/>
          </w:tcPr>
          <w:p>
            <w:pPr>
              <w:jc w:val="right"/>
              <w:ind w:right="200"/>
              <w:spacing w:after="0" w:line="134" w:lineRule="exact"/>
              <w:rPr>
                <w:sz w:val="20"/>
                <w:szCs w:val="20"/>
                <w:color w:val="auto"/>
              </w:rPr>
            </w:pPr>
            <w:r>
              <w:rPr>
                <w:rFonts w:ascii="Arial" w:cs="Arial" w:eastAsia="Arial" w:hAnsi="Arial"/>
                <w:sz w:val="13"/>
                <w:szCs w:val="13"/>
                <w:color w:val="auto"/>
              </w:rPr>
              <w:t>(108,810)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right"/>
              <w:spacing w:after="0" w:line="134" w:lineRule="exact"/>
              <w:rPr>
                <w:sz w:val="20"/>
                <w:szCs w:val="20"/>
                <w:color w:val="auto"/>
              </w:rPr>
            </w:pPr>
            <w:r>
              <w:rPr>
                <w:rFonts w:ascii="Arial" w:cs="Arial" w:eastAsia="Arial" w:hAnsi="Arial"/>
                <w:sz w:val="13"/>
                <w:szCs w:val="13"/>
                <w:color w:val="auto"/>
              </w:rPr>
              <w:t>2,981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3"/>
                <w:szCs w:val="13"/>
                <w:color w:val="auto"/>
              </w:rPr>
              <w:t>114,883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Net cash provided by investing activities from discontinued operations</w:t>
            </w:r>
          </w:p>
        </w:tc>
        <w:tc>
          <w:tcPr>
            <w:tcW w:w="8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637</w:t>
            </w:r>
          </w:p>
        </w:tc>
        <w:tc>
          <w:tcPr>
            <w:tcW w:w="240" w:type="dxa"/>
            <w:vAlign w:val="bottom"/>
            <w:tcBorders>
              <w:bottom w:val="single" w:sz="8" w:color="CFF0FC"/>
              <w:right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17,692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00" w:type="dxa"/>
            <w:vAlign w:val="bottom"/>
          </w:tcPr>
          <w:p>
            <w:pPr>
              <w:spacing w:after="0" w:line="134" w:lineRule="exact"/>
              <w:rPr>
                <w:sz w:val="20"/>
                <w:szCs w:val="20"/>
                <w:color w:val="auto"/>
              </w:rPr>
            </w:pPr>
            <w:r>
              <w:rPr>
                <w:rFonts w:ascii="Arial" w:cs="Arial" w:eastAsia="Arial" w:hAnsi="Arial"/>
                <w:sz w:val="13"/>
                <w:szCs w:val="13"/>
                <w:color w:val="auto"/>
              </w:rPr>
              <w:t>Net cash (used in) provided by investing activities</w:t>
            </w:r>
          </w:p>
        </w:tc>
        <w:tc>
          <w:tcPr>
            <w:tcW w:w="80" w:type="dxa"/>
            <w:vAlign w:val="bottom"/>
          </w:tcPr>
          <w:p>
            <w:pPr>
              <w:spacing w:after="0"/>
              <w:rPr>
                <w:sz w:val="11"/>
                <w:szCs w:val="11"/>
                <w:color w:val="auto"/>
              </w:rPr>
            </w:pPr>
          </w:p>
        </w:tc>
        <w:tc>
          <w:tcPr>
            <w:tcW w:w="1680" w:type="dxa"/>
            <w:vAlign w:val="bottom"/>
            <w:tcBorders>
              <w:right w:val="single" w:sz="8" w:color="auto"/>
            </w:tcBorders>
            <w:gridSpan w:val="2"/>
          </w:tcPr>
          <w:p>
            <w:pPr>
              <w:jc w:val="right"/>
              <w:ind w:right="200"/>
              <w:spacing w:after="0" w:line="134" w:lineRule="exact"/>
              <w:rPr>
                <w:sz w:val="20"/>
                <w:szCs w:val="20"/>
                <w:color w:val="auto"/>
              </w:rPr>
            </w:pPr>
            <w:r>
              <w:rPr>
                <w:rFonts w:ascii="Arial" w:cs="Arial" w:eastAsia="Arial" w:hAnsi="Arial"/>
                <w:sz w:val="13"/>
                <w:szCs w:val="13"/>
                <w:color w:val="auto"/>
              </w:rPr>
              <w:t>(108,173)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right"/>
              <w:spacing w:after="0" w:line="134" w:lineRule="exact"/>
              <w:rPr>
                <w:sz w:val="20"/>
                <w:szCs w:val="20"/>
                <w:color w:val="auto"/>
              </w:rPr>
            </w:pPr>
            <w:r>
              <w:rPr>
                <w:rFonts w:ascii="Arial" w:cs="Arial" w:eastAsia="Arial" w:hAnsi="Arial"/>
                <w:sz w:val="13"/>
                <w:szCs w:val="13"/>
                <w:color w:val="auto"/>
              </w:rPr>
              <w:t>2,981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3"/>
                <w:szCs w:val="13"/>
                <w:color w:val="auto"/>
              </w:rPr>
              <w:t>132,575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Financing activities</w:t>
            </w: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Proceeds from borrowings under secured financing agreements</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307,780</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296,046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Principal repayment under secured financing agreements</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(253,998)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(16,676)</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(251,529)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Proceeds from financing of beneficial interests in securitizations</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16,223</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15,821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Principal repayments of financing of beneficial interests in securitizations</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(13,625)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(1,028)</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(13,428)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Proceeds from warehouse credit facilities</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333,700</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11,900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318,600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Repayments of warehouse credit facilities</w:t>
            </w:r>
          </w:p>
        </w:tc>
        <w:tc>
          <w:tcPr>
            <w:tcW w:w="80" w:type="dxa"/>
            <w:vAlign w:val="bottom"/>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(378,763)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(8,094)</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(379,956)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Proceeds from issuance of related party note</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10,000</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Proceeds from related party line of credit</w:t>
            </w:r>
          </w:p>
        </w:tc>
        <w:tc>
          <w:tcPr>
            <w:tcW w:w="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18,500</w:t>
            </w:r>
          </w:p>
        </w:tc>
        <w:tc>
          <w:tcPr>
            <w:tcW w:w="2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Other financing activities</w:t>
            </w:r>
          </w:p>
        </w:tc>
        <w:tc>
          <w:tcPr>
            <w:tcW w:w="8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(1,941)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6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cash provided by (used in) financing activities from continuing operations</w:t>
            </w:r>
          </w:p>
        </w:tc>
        <w:tc>
          <w:tcPr>
            <w:tcW w:w="80" w:type="dxa"/>
            <w:vAlign w:val="bottom"/>
            <w:shd w:val="clear" w:color="auto" w:fill="CFF0FC"/>
          </w:tcPr>
          <w:p>
            <w:pPr>
              <w:spacing w:after="0"/>
              <w:rPr>
                <w:sz w:val="11"/>
                <w:szCs w:val="11"/>
                <w:color w:val="auto"/>
              </w:rPr>
            </w:pPr>
          </w:p>
        </w:tc>
        <w:tc>
          <w:tcPr>
            <w:tcW w:w="14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37,876</w:t>
            </w:r>
          </w:p>
        </w:tc>
        <w:tc>
          <w:tcPr>
            <w:tcW w:w="24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(13,898)</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(14,810)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Net cash used in financing activities from discontinued operations</w:t>
            </w:r>
          </w:p>
        </w:tc>
        <w:tc>
          <w:tcPr>
            <w:tcW w:w="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(151,178)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6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CFF0FC"/>
          </w:tcPr>
          <w:p>
            <w:pPr>
              <w:spacing w:after="0"/>
              <w:rPr>
                <w:sz w:val="11"/>
                <w:szCs w:val="11"/>
                <w:color w:val="auto"/>
              </w:rPr>
            </w:pPr>
          </w:p>
        </w:tc>
        <w:tc>
          <w:tcPr>
            <w:tcW w:w="14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37,876</w:t>
            </w:r>
          </w:p>
        </w:tc>
        <w:tc>
          <w:tcPr>
            <w:tcW w:w="24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100"/>
              <w:spacing w:after="0" w:line="134" w:lineRule="exact"/>
              <w:rPr>
                <w:sz w:val="20"/>
                <w:szCs w:val="20"/>
                <w:color w:val="auto"/>
              </w:rPr>
            </w:pPr>
            <w:r>
              <w:rPr>
                <w:rFonts w:ascii="Arial" w:cs="Arial" w:eastAsia="Arial" w:hAnsi="Arial"/>
                <w:sz w:val="13"/>
                <w:szCs w:val="13"/>
                <w:color w:val="auto"/>
              </w:rPr>
              <w:t>(13,898)</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3"/>
                <w:szCs w:val="13"/>
                <w:color w:val="auto"/>
              </w:rPr>
              <w:t>(165,988)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6200" w:type="dxa"/>
            <w:vAlign w:val="bottom"/>
          </w:tcPr>
          <w:p>
            <w:pPr>
              <w:spacing w:after="0" w:line="134" w:lineRule="exact"/>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80" w:type="dxa"/>
            <w:vAlign w:val="bottom"/>
          </w:tcPr>
          <w:p>
            <w:pPr>
              <w:spacing w:after="0"/>
              <w:rPr>
                <w:sz w:val="11"/>
                <w:szCs w:val="11"/>
                <w:color w:val="auto"/>
              </w:rPr>
            </w:pPr>
          </w:p>
        </w:tc>
        <w:tc>
          <w:tcPr>
            <w:tcW w:w="1440" w:type="dxa"/>
            <w:vAlign w:val="bottom"/>
          </w:tcPr>
          <w:p>
            <w:pPr>
              <w:jc w:val="right"/>
              <w:spacing w:after="0" w:line="134" w:lineRule="exact"/>
              <w:rPr>
                <w:sz w:val="20"/>
                <w:szCs w:val="20"/>
                <w:color w:val="auto"/>
              </w:rPr>
            </w:pPr>
            <w:r>
              <w:rPr>
                <w:rFonts w:ascii="Arial" w:cs="Arial" w:eastAsia="Arial" w:hAnsi="Arial"/>
                <w:sz w:val="13"/>
                <w:szCs w:val="13"/>
                <w:color w:val="auto"/>
              </w:rPr>
              <w:t>4,857</w:t>
            </w: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(16,928)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(130,450)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cash equivalents and restricted cash at the beginning of period</w:t>
            </w:r>
          </w:p>
        </w:tc>
        <w:tc>
          <w:tcPr>
            <w:tcW w:w="8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61,441</w:t>
            </w:r>
          </w:p>
        </w:tc>
        <w:tc>
          <w:tcPr>
            <w:tcW w:w="240" w:type="dxa"/>
            <w:vAlign w:val="bottom"/>
            <w:tcBorders>
              <w:bottom w:val="single" w:sz="8" w:color="CFF0FC"/>
              <w:right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78,369</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208,819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00" w:type="dxa"/>
            <w:vAlign w:val="bottom"/>
          </w:tcPr>
          <w:p>
            <w:pPr>
              <w:spacing w:after="0" w:line="134" w:lineRule="exact"/>
              <w:rPr>
                <w:sz w:val="20"/>
                <w:szCs w:val="20"/>
                <w:color w:val="auto"/>
              </w:rPr>
            </w:pPr>
            <w:r>
              <w:rPr>
                <w:rFonts w:ascii="Arial" w:cs="Arial" w:eastAsia="Arial" w:hAnsi="Arial"/>
                <w:sz w:val="13"/>
                <w:szCs w:val="13"/>
                <w:b w:val="1"/>
                <w:bCs w:val="1"/>
                <w:color w:val="auto"/>
              </w:rPr>
              <w:t>Cash, cash equivalents and restricted cash at the end of period</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40" w:type="dxa"/>
            <w:vAlign w:val="bottom"/>
          </w:tcPr>
          <w:p>
            <w:pPr>
              <w:jc w:val="right"/>
              <w:spacing w:after="0" w:line="134" w:lineRule="exact"/>
              <w:rPr>
                <w:sz w:val="20"/>
                <w:szCs w:val="20"/>
                <w:color w:val="auto"/>
              </w:rPr>
            </w:pPr>
            <w:r>
              <w:rPr>
                <w:rFonts w:ascii="Arial" w:cs="Arial" w:eastAsia="Arial" w:hAnsi="Arial"/>
                <w:sz w:val="13"/>
                <w:szCs w:val="13"/>
                <w:color w:val="auto"/>
              </w:rPr>
              <w:t>66,298</w:t>
            </w: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line="134" w:lineRule="exact"/>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line="134" w:lineRule="exact"/>
              <w:rPr>
                <w:sz w:val="20"/>
                <w:szCs w:val="20"/>
                <w:color w:val="auto"/>
              </w:rPr>
            </w:pPr>
            <w:r>
              <w:rPr>
                <w:rFonts w:ascii="Arial" w:cs="Arial" w:eastAsia="Arial" w:hAnsi="Arial"/>
                <w:sz w:val="13"/>
                <w:szCs w:val="13"/>
                <w:color w:val="auto"/>
              </w:rPr>
              <w:t>61,441</w:t>
            </w:r>
          </w:p>
        </w:tc>
        <w:tc>
          <w:tcPr>
            <w:tcW w:w="140" w:type="dxa"/>
            <w:vAlign w:val="bottom"/>
          </w:tcPr>
          <w:p>
            <w:pPr>
              <w:spacing w:after="0"/>
              <w:rPr>
                <w:sz w:val="11"/>
                <w:szCs w:val="11"/>
                <w:color w:val="auto"/>
              </w:rPr>
            </w:pPr>
          </w:p>
        </w:tc>
        <w:tc>
          <w:tcPr>
            <w:tcW w:w="3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120" w:type="dxa"/>
            <w:vAlign w:val="bottom"/>
          </w:tcPr>
          <w:p>
            <w:pPr>
              <w:jc w:val="right"/>
              <w:spacing w:after="0" w:line="134" w:lineRule="exact"/>
              <w:rPr>
                <w:sz w:val="20"/>
                <w:szCs w:val="20"/>
                <w:color w:val="auto"/>
              </w:rPr>
            </w:pPr>
            <w:r>
              <w:rPr>
                <w:rFonts w:ascii="Arial" w:cs="Arial" w:eastAsia="Arial" w:hAnsi="Arial"/>
                <w:sz w:val="13"/>
                <w:szCs w:val="13"/>
                <w:color w:val="auto"/>
              </w:rPr>
              <w:t>78,369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-1779270</wp:posOffset>
            </wp:positionV>
            <wp:extent cx="6731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-1779270</wp:posOffset>
            </wp:positionV>
            <wp:extent cx="673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-1779270</wp:posOffset>
            </wp:positionV>
            <wp:extent cx="6731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-1591310</wp:posOffset>
            </wp:positionV>
            <wp:extent cx="6731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-1591310</wp:posOffset>
            </wp:positionV>
            <wp:extent cx="6731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-1591310</wp:posOffset>
            </wp:positionV>
            <wp:extent cx="6731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-307340</wp:posOffset>
            </wp:positionV>
            <wp:extent cx="6731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-307340</wp:posOffset>
            </wp:positionV>
            <wp:extent cx="6731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-307340</wp:posOffset>
            </wp:positionV>
            <wp:extent cx="6731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-119380</wp:posOffset>
            </wp:positionV>
            <wp:extent cx="6731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-119380</wp:posOffset>
            </wp:positionV>
            <wp:extent cx="6731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-119380</wp:posOffset>
            </wp:positionV>
            <wp:extent cx="6731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9" w:right="31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3"/>
          <w:szCs w:val="13"/>
          <w:b w:val="1"/>
          <w:bCs w:val="1"/>
          <w:color w:val="auto"/>
        </w:rPr>
        <w:t>VROOM, INC.</w:t>
      </w:r>
    </w:p>
    <w:p>
      <w:pPr>
        <w:jc w:val="center"/>
        <w:ind w:right="20"/>
        <w:spacing w:after="0" w:line="234" w:lineRule="auto"/>
        <w:rPr>
          <w:sz w:val="20"/>
          <w:szCs w:val="20"/>
          <w:color w:val="auto"/>
        </w:rPr>
      </w:pPr>
      <w:r>
        <w:rPr>
          <w:rFonts w:ascii="Arial" w:cs="Arial" w:eastAsia="Arial" w:hAnsi="Arial"/>
          <w:sz w:val="13"/>
          <w:szCs w:val="13"/>
          <w:b w:val="1"/>
          <w:bCs w:val="1"/>
          <w:color w:val="auto"/>
        </w:rPr>
        <w:t>CONSOLIDATED STATEMENTS OF CASH FLOWS (continued)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6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Arial" w:cs="Arial" w:eastAsia="Arial" w:hAnsi="Arial"/>
                <w:sz w:val="13"/>
                <w:szCs w:val="13"/>
                <w:color w:val="auto"/>
              </w:rPr>
              <w:t>Cash paid for interest</w:t>
            </w:r>
          </w:p>
        </w:tc>
        <w:tc>
          <w:tcPr>
            <w:tcW w:w="600" w:type="dxa"/>
            <w:vAlign w:val="bottom"/>
          </w:tcPr>
          <w:p>
            <w:pPr>
              <w:jc w:val="right"/>
              <w:ind w:right="49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47,717</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45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4,534</w:t>
            </w:r>
          </w:p>
        </w:tc>
        <w:tc>
          <w:tcPr>
            <w:tcW w:w="760" w:type="dxa"/>
            <w:vAlign w:val="bottom"/>
            <w:gridSpan w:val="2"/>
          </w:tcPr>
          <w:p>
            <w:pPr>
              <w:jc w:val="right"/>
              <w:ind w:right="460"/>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57,688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6200" w:type="dxa"/>
            <w:vAlign w:val="bottom"/>
            <w:shd w:val="clear" w:color="auto" w:fill="CFF0FC"/>
          </w:tcPr>
          <w:p>
            <w:pPr>
              <w:spacing w:after="0" w:line="118" w:lineRule="exact"/>
              <w:rPr>
                <w:sz w:val="20"/>
                <w:szCs w:val="20"/>
                <w:color w:val="auto"/>
              </w:rPr>
            </w:pPr>
            <w:r>
              <w:rPr>
                <w:rFonts w:ascii="Arial" w:cs="Arial" w:eastAsia="Arial" w:hAnsi="Arial"/>
                <w:sz w:val="13"/>
                <w:szCs w:val="13"/>
                <w:color w:val="auto"/>
              </w:rPr>
              <w:t>Cash paid for reorganization items, net</w:t>
            </w:r>
          </w:p>
        </w:tc>
        <w:tc>
          <w:tcPr>
            <w:tcW w:w="600" w:type="dxa"/>
            <w:vAlign w:val="bottom"/>
            <w:shd w:val="clear" w:color="auto" w:fill="CFF0FC"/>
          </w:tcPr>
          <w:p>
            <w:pPr>
              <w:jc w:val="right"/>
              <w:ind w:right="49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FF0FC"/>
          </w:tcPr>
          <w:p>
            <w:pPr>
              <w:jc w:val="right"/>
              <w:spacing w:after="0" w:line="118"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45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FF0FC"/>
          </w:tcPr>
          <w:p>
            <w:pPr>
              <w:jc w:val="right"/>
              <w:spacing w:after="0" w:line="118" w:lineRule="exact"/>
              <w:rPr>
                <w:sz w:val="20"/>
                <w:szCs w:val="20"/>
                <w:color w:val="auto"/>
              </w:rPr>
            </w:pPr>
            <w:r>
              <w:rPr>
                <w:rFonts w:ascii="Arial" w:cs="Arial" w:eastAsia="Arial" w:hAnsi="Arial"/>
                <w:sz w:val="13"/>
                <w:szCs w:val="13"/>
                <w:color w:val="auto"/>
              </w:rPr>
              <w:t>1,705</w:t>
            </w:r>
          </w:p>
        </w:tc>
        <w:tc>
          <w:tcPr>
            <w:tcW w:w="760" w:type="dxa"/>
            <w:vAlign w:val="bottom"/>
            <w:gridSpan w:val="2"/>
            <w:shd w:val="clear" w:color="auto" w:fill="CFF0FC"/>
          </w:tcPr>
          <w:p>
            <w:pPr>
              <w:jc w:val="right"/>
              <w:ind w:right="460"/>
              <w:spacing w:after="0" w:line="118" w:lineRule="exact"/>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line="118" w:lineRule="exact"/>
              <w:rPr>
                <w:sz w:val="20"/>
                <w:szCs w:val="20"/>
                <w:color w:val="auto"/>
              </w:rPr>
            </w:pPr>
            <w:r>
              <w:rPr>
                <w:rFonts w:ascii="Arial" w:cs="Arial" w:eastAsia="Arial" w:hAnsi="Arial"/>
                <w:sz w:val="13"/>
                <w:szCs w:val="13"/>
                <w:color w:val="auto"/>
              </w:rPr>
              <w:t>3,009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6200" w:type="dxa"/>
            <w:vAlign w:val="bottom"/>
          </w:tcPr>
          <w:p>
            <w:pPr>
              <w:spacing w:after="0" w:line="118" w:lineRule="exact"/>
              <w:rPr>
                <w:sz w:val="20"/>
                <w:szCs w:val="20"/>
                <w:color w:val="auto"/>
              </w:rPr>
            </w:pPr>
            <w:r>
              <w:rPr>
                <w:rFonts w:ascii="Arial" w:cs="Arial" w:eastAsia="Arial" w:hAnsi="Arial"/>
                <w:sz w:val="13"/>
                <w:szCs w:val="13"/>
                <w:color w:val="auto"/>
              </w:rPr>
              <w:t>Cash paid for income taxes</w:t>
            </w:r>
          </w:p>
        </w:tc>
        <w:tc>
          <w:tcPr>
            <w:tcW w:w="600" w:type="dxa"/>
            <w:vAlign w:val="bottom"/>
          </w:tcPr>
          <w:p>
            <w:pPr>
              <w:jc w:val="right"/>
              <w:ind w:right="493"/>
              <w:spacing w:after="0"/>
              <w:rPr>
                <w:sz w:val="20"/>
                <w:szCs w:val="20"/>
                <w:color w:val="auto"/>
              </w:rPr>
            </w:pPr>
            <w:r>
              <w:rPr>
                <w:rFonts w:ascii="Arial" w:cs="Arial" w:eastAsia="Arial" w:hAnsi="Arial"/>
                <w:sz w:val="9"/>
                <w:szCs w:val="9"/>
                <w:color w:val="auto"/>
                <w:w w:val="78"/>
              </w:rPr>
              <w:t>$</w:t>
            </w:r>
          </w:p>
        </w:tc>
        <w:tc>
          <w:tcPr>
            <w:tcW w:w="1160" w:type="dxa"/>
            <w:vAlign w:val="bottom"/>
            <w:tcBorders>
              <w:right w:val="single" w:sz="8" w:color="auto"/>
            </w:tcBorders>
            <w:gridSpan w:val="2"/>
          </w:tcPr>
          <w:p>
            <w:pPr>
              <w:jc w:val="right"/>
              <w:ind w:right="200"/>
              <w:spacing w:after="0" w:line="118" w:lineRule="exact"/>
              <w:rPr>
                <w:sz w:val="20"/>
                <w:szCs w:val="20"/>
                <w:color w:val="auto"/>
              </w:rPr>
            </w:pPr>
            <w:r>
              <w:rPr>
                <w:rFonts w:ascii="Arial" w:cs="Arial" w:eastAsia="Arial" w:hAnsi="Arial"/>
                <w:sz w:val="13"/>
                <w:szCs w:val="13"/>
                <w:color w:val="auto"/>
              </w:rPr>
              <w:t>(137)</w:t>
            </w:r>
          </w:p>
        </w:tc>
        <w:tc>
          <w:tcPr>
            <w:tcW w:w="140" w:type="dxa"/>
            <w:vAlign w:val="bottom"/>
          </w:tcPr>
          <w:p>
            <w:pPr>
              <w:spacing w:after="0"/>
              <w:rPr>
                <w:sz w:val="10"/>
                <w:szCs w:val="10"/>
                <w:color w:val="auto"/>
              </w:rPr>
            </w:pPr>
          </w:p>
        </w:tc>
        <w:tc>
          <w:tcPr>
            <w:tcW w:w="560" w:type="dxa"/>
            <w:vAlign w:val="bottom"/>
          </w:tcPr>
          <w:p>
            <w:pPr>
              <w:jc w:val="right"/>
              <w:ind w:right="45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line="11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60"/>
              <w:spacing w:after="0" w:line="11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80"/>
              <w:spacing w:after="0" w:line="118" w:lineRule="exact"/>
              <w:rPr>
                <w:sz w:val="20"/>
                <w:szCs w:val="20"/>
                <w:color w:val="auto"/>
              </w:rPr>
            </w:pPr>
            <w:r>
              <w:rPr>
                <w:rFonts w:ascii="Arial" w:cs="Arial" w:eastAsia="Arial" w:hAnsi="Arial"/>
                <w:sz w:val="13"/>
                <w:szCs w:val="13"/>
                <w:color w:val="auto"/>
              </w:rPr>
              <w:t>(1,426)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-134620</wp:posOffset>
            </wp:positionV>
            <wp:extent cx="6731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-119380</wp:posOffset>
            </wp:positionV>
            <wp:extent cx="6731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-134620</wp:posOffset>
            </wp:positionV>
            <wp:extent cx="6731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-119380</wp:posOffset>
            </wp:positionV>
            <wp:extent cx="6731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-134620</wp:posOffset>
            </wp:positionV>
            <wp:extent cx="6731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-119380</wp:posOffset>
            </wp:positionV>
            <wp:extent cx="6731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9" w:right="319" w:bottom="1440" w:gutter="0" w:footer="0" w:header="0"/>
        </w:sectPr>
      </w:pPr>
    </w:p>
    <w:bookmarkStart w:id="22" w:name="page23"/>
    <w:bookmarkEnd w:id="22"/>
    <w:p>
      <w:pPr>
        <w:ind w:left="926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4469130</wp:posOffset>
            </wp:positionV>
            <wp:extent cx="717486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20955</wp:posOffset>
            </wp:positionV>
            <wp:extent cx="7202170" cy="40328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2170" cy="4032885"/>
                    </a:xfrm>
                    <a:prstGeom prst="rect">
                      <a:avLst/>
                    </a:prstGeom>
                    <a:noFill/>
                  </pic:spPr>
                </pic:pic>
              </a:graphicData>
            </a:graphic>
          </wp:anchor>
        </w:drawing>
      </w:r>
    </w:p>
    <w:p>
      <w:pPr>
        <w:sectPr>
          <w:pgSz w:w="11900" w:h="16838" w:orient="portrait"/>
          <w:cols w:equalWidth="0" w:num="1">
            <w:col w:w="10140"/>
          </w:cols>
          <w:pgMar w:left="1440" w:top="690" w:right="31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5055235</wp:posOffset>
            </wp:positionV>
            <wp:extent cx="717486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2170" cy="40405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7202170" cy="404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5032375</wp:posOffset>
            </wp:positionV>
            <wp:extent cx="717486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405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4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5032375</wp:posOffset>
            </wp:positionV>
            <wp:extent cx="7174865"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2170" cy="40328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7202170" cy="403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5032375</wp:posOffset>
            </wp:positionV>
            <wp:extent cx="717486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405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4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5032375</wp:posOffset>
            </wp:positionV>
            <wp:extent cx="717486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474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5017770</wp:posOffset>
            </wp:positionV>
            <wp:extent cx="717486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252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25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5055235</wp:posOffset>
            </wp:positionV>
            <wp:extent cx="717486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474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lvl>
    <w:lvl w:ilvl="1">
      <w:lvlJc w:val="left"/>
      <w:lvlText w:val="•"/>
      <w:numFmt w:val="bullet"/>
      <w:start w:val="1"/>
    </w:lvl>
    <w:lvl w:ilvl="2">
      <w:lvlJc w:val="left"/>
      <w:lvlText w:val="o"/>
      <w:numFmt w:val="bullet"/>
      <w:start w:val="1"/>
    </w:lvl>
  </w:abstractNum>
  <w:abstractNum w:abstractNumId="3">
    <w:nsid w:val="625558EC"/>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2026-03-26T15:33:14Z</dcterms:created>
  <dcterms:modified xsi:type="dcterms:W3CDTF">2026-03-26T15:33:14Z</dcterms:modified>
</cp:coreProperties>
</file>