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VROOM,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820" w:type="dxa"/>
        <w:tblCellMar>
          <w:top w:w="0" w:type="dxa"/>
          <w:left w:w="0" w:type="dxa"/>
          <w:bottom w:w="0" w:type="dxa"/>
          <w:right w:w="0" w:type="dxa"/>
        </w:tblCellMar>
      </w:tblPr>
      <w:tr>
        <w:trPr>
          <w:trHeight w:val="238"/>
        </w:trPr>
        <w:tc>
          <w:tcPr>
            <w:tcW w:w="240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2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001-39315</w:t>
            </w:r>
          </w:p>
        </w:tc>
        <w:tc>
          <w:tcPr>
            <w:tcW w:w="1740" w:type="dxa"/>
            <w:vAlign w:val="bottom"/>
          </w:tcPr>
          <w:p>
            <w:pPr>
              <w:jc w:val="center"/>
              <w:ind w:left="522"/>
              <w:spacing w:after="0"/>
              <w:rPr>
                <w:sz w:val="20"/>
                <w:szCs w:val="20"/>
                <w:color w:val="auto"/>
              </w:rPr>
            </w:pPr>
            <w:r>
              <w:rPr>
                <w:rFonts w:ascii="Times New Roman" w:cs="Times New Roman" w:eastAsia="Times New Roman" w:hAnsi="Times New Roman"/>
                <w:sz w:val="18"/>
                <w:szCs w:val="18"/>
                <w:b w:val="1"/>
                <w:bCs w:val="1"/>
                <w:color w:val="auto"/>
                <w:w w:val="98"/>
              </w:rPr>
              <w:t>90-1112566</w:t>
            </w:r>
          </w:p>
        </w:tc>
      </w:tr>
      <w:tr>
        <w:trPr>
          <w:trHeight w:val="151"/>
        </w:trPr>
        <w:tc>
          <w:tcPr>
            <w:tcW w:w="2400" w:type="dxa"/>
            <w:vAlign w:val="bottom"/>
          </w:tcPr>
          <w:p>
            <w:pPr>
              <w:jc w:val="center"/>
              <w:ind w:right="28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20" w:type="dxa"/>
            <w:vAlign w:val="bottom"/>
          </w:tcPr>
          <w:p>
            <w:pPr>
              <w:ind w:left="202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40" w:type="dxa"/>
            <w:vAlign w:val="bottom"/>
          </w:tcPr>
          <w:p>
            <w:pPr>
              <w:jc w:val="center"/>
              <w:ind w:left="542"/>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502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4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2400" w:type="dxa"/>
            <w:vAlign w:val="bottom"/>
          </w:tcPr>
          <w:p>
            <w:pPr>
              <w:spacing w:after="0"/>
              <w:rPr>
                <w:sz w:val="24"/>
                <w:szCs w:val="24"/>
                <w:color w:val="auto"/>
              </w:rPr>
            </w:pPr>
          </w:p>
        </w:tc>
        <w:tc>
          <w:tcPr>
            <w:tcW w:w="502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3600 W Sam Houston Pkwy S, Floor 4</w:t>
            </w:r>
          </w:p>
        </w:tc>
        <w:tc>
          <w:tcPr>
            <w:tcW w:w="1740" w:type="dxa"/>
            <w:vAlign w:val="bottom"/>
          </w:tcPr>
          <w:p>
            <w:pPr>
              <w:spacing w:after="0"/>
              <w:rPr>
                <w:sz w:val="24"/>
                <w:szCs w:val="24"/>
                <w:color w:val="auto"/>
              </w:rPr>
            </w:pPr>
          </w:p>
        </w:tc>
      </w:tr>
      <w:tr>
        <w:trPr>
          <w:trHeight w:val="214"/>
        </w:trPr>
        <w:tc>
          <w:tcPr>
            <w:tcW w:w="2400" w:type="dxa"/>
            <w:vAlign w:val="bottom"/>
          </w:tcPr>
          <w:p>
            <w:pPr>
              <w:spacing w:after="0"/>
              <w:rPr>
                <w:sz w:val="18"/>
                <w:szCs w:val="18"/>
                <w:color w:val="auto"/>
              </w:rPr>
            </w:pPr>
          </w:p>
        </w:tc>
        <w:tc>
          <w:tcPr>
            <w:tcW w:w="502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8"/>
              </w:rPr>
              <w:t>Houston, Texas 77042</w:t>
            </w:r>
          </w:p>
        </w:tc>
        <w:tc>
          <w:tcPr>
            <w:tcW w:w="1740" w:type="dxa"/>
            <w:vAlign w:val="bottom"/>
          </w:tcPr>
          <w:p>
            <w:pPr>
              <w:spacing w:after="0"/>
              <w:rPr>
                <w:sz w:val="18"/>
                <w:szCs w:val="18"/>
                <w:color w:val="auto"/>
              </w:rPr>
            </w:pPr>
          </w:p>
        </w:tc>
      </w:tr>
      <w:tr>
        <w:trPr>
          <w:trHeight w:val="190"/>
        </w:trPr>
        <w:tc>
          <w:tcPr>
            <w:tcW w:w="2400" w:type="dxa"/>
            <w:vAlign w:val="bottom"/>
          </w:tcPr>
          <w:p>
            <w:pPr>
              <w:spacing w:after="0"/>
              <w:rPr>
                <w:sz w:val="16"/>
                <w:szCs w:val="16"/>
                <w:color w:val="auto"/>
              </w:rPr>
            </w:pPr>
          </w:p>
        </w:tc>
        <w:tc>
          <w:tcPr>
            <w:tcW w:w="50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740" w:type="dxa"/>
            <w:vAlign w:val="bottom"/>
          </w:tcPr>
          <w:p>
            <w:pPr>
              <w:spacing w:after="0"/>
              <w:rPr>
                <w:sz w:val="16"/>
                <w:szCs w:val="16"/>
                <w:color w:val="auto"/>
              </w:rPr>
            </w:pPr>
          </w:p>
        </w:tc>
      </w:tr>
      <w:tr>
        <w:trPr>
          <w:trHeight w:val="255"/>
        </w:trPr>
        <w:tc>
          <w:tcPr>
            <w:tcW w:w="2400" w:type="dxa"/>
            <w:vAlign w:val="bottom"/>
          </w:tcPr>
          <w:p>
            <w:pPr>
              <w:spacing w:after="0"/>
              <w:rPr>
                <w:sz w:val="22"/>
                <w:szCs w:val="22"/>
                <w:color w:val="auto"/>
              </w:rPr>
            </w:pPr>
          </w:p>
        </w:tc>
        <w:tc>
          <w:tcPr>
            <w:tcW w:w="50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(518) 535-9125</w:t>
            </w:r>
          </w:p>
        </w:tc>
        <w:tc>
          <w:tcPr>
            <w:tcW w:w="1740" w:type="dxa"/>
            <w:vAlign w:val="bottom"/>
          </w:tcPr>
          <w:p>
            <w:pPr>
              <w:spacing w:after="0"/>
              <w:rPr>
                <w:sz w:val="22"/>
                <w:szCs w:val="22"/>
                <w:color w:val="auto"/>
              </w:rPr>
            </w:pPr>
          </w:p>
        </w:tc>
      </w:tr>
      <w:tr>
        <w:trPr>
          <w:trHeight w:val="190"/>
        </w:trPr>
        <w:tc>
          <w:tcPr>
            <w:tcW w:w="2400" w:type="dxa"/>
            <w:vAlign w:val="bottom"/>
          </w:tcPr>
          <w:p>
            <w:pPr>
              <w:spacing w:after="0"/>
              <w:rPr>
                <w:sz w:val="16"/>
                <w:szCs w:val="16"/>
                <w:color w:val="auto"/>
              </w:rPr>
            </w:pPr>
          </w:p>
        </w:tc>
        <w:tc>
          <w:tcPr>
            <w:tcW w:w="50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40" w:type="dxa"/>
            <w:vAlign w:val="bottom"/>
          </w:tcPr>
          <w:p>
            <w:pPr>
              <w:spacing w:after="0"/>
              <w:rPr>
                <w:sz w:val="16"/>
                <w:szCs w:val="16"/>
                <w:color w:val="auto"/>
              </w:rPr>
            </w:pPr>
          </w:p>
        </w:tc>
      </w:tr>
      <w:tr>
        <w:trPr>
          <w:trHeight w:val="242"/>
        </w:trPr>
        <w:tc>
          <w:tcPr>
            <w:tcW w:w="2400" w:type="dxa"/>
            <w:vAlign w:val="bottom"/>
          </w:tcPr>
          <w:p>
            <w:pPr>
              <w:spacing w:after="0"/>
              <w:rPr>
                <w:sz w:val="21"/>
                <w:szCs w:val="21"/>
                <w:color w:val="auto"/>
              </w:rPr>
            </w:pPr>
          </w:p>
        </w:tc>
        <w:tc>
          <w:tcPr>
            <w:tcW w:w="50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tc>
        <w:tc>
          <w:tcPr>
            <w:tcW w:w="1740" w:type="dxa"/>
            <w:vAlign w:val="bottom"/>
          </w:tcPr>
          <w:p>
            <w:pPr>
              <w:spacing w:after="0"/>
              <w:rPr>
                <w:sz w:val="21"/>
                <w:szCs w:val="21"/>
                <w:color w:val="auto"/>
              </w:rPr>
            </w:pPr>
          </w:p>
        </w:tc>
      </w:tr>
      <w:tr>
        <w:trPr>
          <w:trHeight w:val="190"/>
        </w:trPr>
        <w:tc>
          <w:tcPr>
            <w:tcW w:w="2400" w:type="dxa"/>
            <w:vAlign w:val="bottom"/>
          </w:tcPr>
          <w:p>
            <w:pPr>
              <w:spacing w:after="0"/>
              <w:rPr>
                <w:sz w:val="16"/>
                <w:szCs w:val="16"/>
                <w:color w:val="auto"/>
              </w:rPr>
            </w:pPr>
          </w:p>
        </w:tc>
        <w:tc>
          <w:tcPr>
            <w:tcW w:w="50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4"/>
          <w:szCs w:val="24"/>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40" w:hanging="328"/>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40" w:hanging="328"/>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40" w:hanging="328"/>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40" w:hanging="328"/>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9"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364"/>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41"/>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VRM</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63" w:lineRule="exact"/>
        <w:rPr>
          <w:sz w:val="24"/>
          <w:szCs w:val="24"/>
          <w:color w:val="auto"/>
        </w:rPr>
      </w:pPr>
    </w:p>
    <w:p>
      <w:pPr>
        <w:ind w:right="520"/>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9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1132840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March 29, 2024, Vroom, Inc. (the “Company”) substantially completed the previously announced wind-down of the Company's ecommerce operations and used vehicle dealership business (the "Ecommerce Wind-Down"). The Company ceased transactions through vroom.com, completed transactions for customers who had previously contracted with the Company to purchase or sell a vehicle, halted purchases of additional vehicles, sold substantially all of its used vehicle inventory through wholesale channels, paid off its vehicle floorplan financing facility dated November 4, 2022 with Ally Bank and Ally Financial Inc., and substantially completed a reduction-in-force commensurate with the reduced operations. The commencement of the process of winding down the ecommerce operations and used vehicle dealership business was previously disclosed by the Company in the Current Report on Form 8-K filed with the Securities and Exchange Commission (“SEC”) on January 22, 2024 as amended by a Current Report on Form 8-K/A filed with the SEC on March 13, 2024. The unaudited pro forma financial information giving effect to the wind-down of the Company's ecommerce operations and used vehicle dealership business is filed herewith as Exhibit 99.1.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The unaudited pro forma condensed consolidated balance sheet of the Company as of December 31, 2023, and the unaudited pro forma condensed consolidated statement of operations of the Company for the years ended December 31, 2023 and 2022, and the notes related thereto, are filed as Exhibit</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99.1 hereto and are incorporated herein by reference. The unaudited pro forma condensed consolidated financial information are based on the Company's historical financial statements after giving effect to the wind-down of the Company's ecommerce operations and used vehicle dealership business. The unaudited pro forma condensed consolidated financial information is provided for informational purposes only and does not purport to represent the Company’s actual financial condition or results of operations had the Ecommerce Wind-Down occurred on the dates indicated nor does it project the Company’s results of operations or financial condition for any future period or date. The Company has prepared the unaudited pro forma financial information based on available information using certain assumptions that it believes are reasonable. As a result, the actual results reported by the Company in periods following the Ecommerce Wind-Down may differ materially from this unaudited pro forma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13"/>
                <w:szCs w:val="13"/>
                <w:color w:val="auto"/>
              </w:rPr>
            </w:pPr>
          </w:p>
        </w:tc>
        <w:tc>
          <w:tcPr>
            <w:tcW w:w="9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660" w:type="dxa"/>
            <w:vAlign w:val="bottom"/>
          </w:tcPr>
          <w:p>
            <w:pPr>
              <w:spacing w:after="0"/>
              <w:rPr>
                <w:sz w:val="15"/>
                <w:szCs w:val="15"/>
                <w:color w:val="auto"/>
              </w:rPr>
            </w:pPr>
          </w:p>
        </w:tc>
        <w:tc>
          <w:tcPr>
            <w:tcW w:w="982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4"/>
                <w:szCs w:val="24"/>
                <w:color w:val="auto"/>
              </w:rPr>
            </w:pP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Unaudited Pro Forma Condensed Consolidated Balance Sheet of the Company as of December 31, 2023, and the Unaudited Pro Forma</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of the Company for the years ended December 31, 2023 and 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46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4"/>
                <w:szCs w:val="24"/>
                <w:color w:val="auto"/>
              </w:rPr>
            </w:pP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2"/>
        </w:trPr>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VROOM, INC.</w:t>
      </w:r>
    </w:p>
    <w:p>
      <w:pPr>
        <w:spacing w:after="0" w:line="185" w:lineRule="exact"/>
        <w:rPr>
          <w:sz w:val="20"/>
          <w:szCs w:val="20"/>
          <w:color w:val="auto"/>
        </w:rPr>
      </w:pPr>
    </w:p>
    <w:p>
      <w:pPr>
        <w:ind w:left="20"/>
        <w:spacing w:after="0"/>
        <w:tabs>
          <w:tab w:leader="none" w:pos="6880" w:val="left"/>
          <w:tab w:leader="none" w:pos="7300" w:val="left"/>
        </w:tabs>
        <w:rPr>
          <w:sz w:val="20"/>
          <w:szCs w:val="20"/>
          <w:color w:val="auto"/>
        </w:rPr>
      </w:pPr>
      <w:r>
        <w:rPr>
          <w:rFonts w:ascii="Times New Roman" w:cs="Times New Roman" w:eastAsia="Times New Roman" w:hAnsi="Times New Roman"/>
          <w:sz w:val="18"/>
          <w:szCs w:val="18"/>
          <w:color w:val="auto"/>
        </w:rPr>
        <w:t>Date: April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R. Krakowiak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771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R. Krakowiak</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2002155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Overview</w:t>
      </w:r>
    </w:p>
    <w:p>
      <w:pPr>
        <w:spacing w:after="0" w:line="198" w:lineRule="exact"/>
        <w:rPr>
          <w:sz w:val="20"/>
          <w:szCs w:val="20"/>
          <w:color w:val="auto"/>
        </w:rPr>
      </w:pPr>
    </w:p>
    <w:p>
      <w:pPr>
        <w:ind w:right="20" w:firstLine="764"/>
        <w:spacing w:after="0"/>
        <w:rPr>
          <w:sz w:val="20"/>
          <w:szCs w:val="20"/>
          <w:color w:val="auto"/>
        </w:rPr>
      </w:pPr>
      <w:r>
        <w:rPr>
          <w:rFonts w:ascii="Arial" w:cs="Arial" w:eastAsia="Arial" w:hAnsi="Arial"/>
          <w:sz w:val="18"/>
          <w:szCs w:val="18"/>
          <w:color w:val="auto"/>
        </w:rPr>
        <w:t>On January 22, 2024, Vroom Inc. ("Company") announced that its Board of Directors ("Board") had approved a Value Maximization Plan, pursuant to which the Company discontinued its ecommerce operations and wound down its used vehicle dealership business in order to preserve liquidity and enable the Company to maximize stakeholder value through its remaining businesses. On March 29, 2024, the Company substantially completed the wind-down of its ecommerce operations and used vehicle dealership business (the "Ecommerce Wind-Down"). The Company ceased transactions through vroom.com, completed transactions for customers who had previously contracted with the Company to purchase or sell a vehicle, halted purchases of additional vehicles, sold substantially all of its used vehicle inventory through wholesale channels, paid off its vehicle floorplan financing facility dated November 4, 2022 with Ally Bank and Ally Financial Inc. (the "2022 Vehicle Floorplan Facility") and substantially completed a reduction-in-force commensurate with the reduced operations.</w:t>
      </w:r>
    </w:p>
    <w:p>
      <w:pPr>
        <w:spacing w:after="0" w:line="167" w:lineRule="exact"/>
        <w:rPr>
          <w:sz w:val="20"/>
          <w:szCs w:val="20"/>
          <w:color w:val="auto"/>
        </w:rPr>
      </w:pPr>
    </w:p>
    <w:p>
      <w:pPr>
        <w:ind w:right="120" w:firstLine="764"/>
        <w:spacing w:after="0" w:line="247" w:lineRule="auto"/>
        <w:rPr>
          <w:sz w:val="20"/>
          <w:szCs w:val="20"/>
          <w:color w:val="auto"/>
        </w:rPr>
      </w:pPr>
      <w:r>
        <w:rPr>
          <w:rFonts w:ascii="Arial" w:cs="Arial" w:eastAsia="Arial" w:hAnsi="Arial"/>
          <w:sz w:val="18"/>
          <w:szCs w:val="18"/>
          <w:color w:val="auto"/>
        </w:rPr>
        <w:t>The Company also owns and operates UACC, a leading automotive finance company that offers vehicle financing to its customers through third-party dealers under the UACC brand, and CarStory, an artificial intelligence-powered analytics and digital services platform for automotive retail. The UACC and CarStory businesses continue to serve their third-party customers, with their operations substantially unaffected by Vroom’s ecommerce and used vehicle business wind-down.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98" w:lineRule="exact"/>
        <w:rPr>
          <w:sz w:val="20"/>
          <w:szCs w:val="20"/>
          <w:color w:val="auto"/>
        </w:rPr>
      </w:pPr>
    </w:p>
    <w:p>
      <w:pPr>
        <w:ind w:right="40" w:firstLine="764"/>
        <w:spacing w:after="0" w:line="244" w:lineRule="auto"/>
        <w:rPr>
          <w:sz w:val="20"/>
          <w:szCs w:val="20"/>
          <w:color w:val="auto"/>
        </w:rPr>
      </w:pPr>
      <w:r>
        <w:rPr>
          <w:rFonts w:ascii="Arial" w:cs="Arial" w:eastAsia="Arial" w:hAnsi="Arial"/>
          <w:sz w:val="18"/>
          <w:szCs w:val="18"/>
          <w:color w:val="auto"/>
        </w:rPr>
        <w:t>The following unaudited pro forma condensed consolidated balance sheet as of December 31, 2023 has been prepared to give effect to the Ecommerce Wind-Down as if it had occurred on December 31, 2023, and the following unaudited pro forma condensed consolidated statements of operations for the years ended December 31, 2023 and 2022, have been prepared to give effect to the Ecommerce Wind-Down as if it had occurred on January 1, 2022. There were no material transaction accounting adjustments to reflect in the pro forma financial statements.</w:t>
      </w:r>
    </w:p>
    <w:p>
      <w:pPr>
        <w:spacing w:after="0" w:line="163" w:lineRule="exact"/>
        <w:rPr>
          <w:sz w:val="20"/>
          <w:szCs w:val="20"/>
          <w:color w:val="auto"/>
        </w:rPr>
      </w:pPr>
    </w:p>
    <w:p>
      <w:pPr>
        <w:ind w:right="60" w:firstLine="500"/>
        <w:spacing w:after="0" w:line="247" w:lineRule="auto"/>
        <w:rPr>
          <w:sz w:val="20"/>
          <w:szCs w:val="20"/>
          <w:color w:val="auto"/>
        </w:rPr>
      </w:pPr>
      <w:r>
        <w:rPr>
          <w:rFonts w:ascii="Arial" w:cs="Arial" w:eastAsia="Arial" w:hAnsi="Arial"/>
          <w:sz w:val="18"/>
          <w:szCs w:val="18"/>
          <w:color w:val="auto"/>
        </w:rPr>
        <w:t>The Ecommerce Wind-Down constitutes a "significant disposition, otherwise than in the ordinary course of business" for purposes of Item 2.01 of Form 8-K. The Company will begin applying discontinued operations treatment for the Ecommerce Wind-Down in the Company's Quarterly Report on Form 10-Q for the quarter ended March 31, 2024. Additionally, this unaudited pro forma financial information presents the Ecommerce Wind-Down as discontinued operations for all periods presented.</w:t>
      </w:r>
    </w:p>
    <w:p>
      <w:pPr>
        <w:spacing w:after="0" w:line="160" w:lineRule="exact"/>
        <w:rPr>
          <w:sz w:val="20"/>
          <w:szCs w:val="20"/>
          <w:color w:val="auto"/>
        </w:rPr>
      </w:pPr>
    </w:p>
    <w:p>
      <w:pPr>
        <w:ind w:right="220" w:firstLine="764"/>
        <w:spacing w:after="0" w:line="271" w:lineRule="auto"/>
        <w:rPr>
          <w:sz w:val="20"/>
          <w:szCs w:val="20"/>
          <w:color w:val="auto"/>
        </w:rPr>
      </w:pPr>
      <w:r>
        <w:rPr>
          <w:rFonts w:ascii="Arial" w:cs="Arial" w:eastAsia="Arial" w:hAnsi="Arial"/>
          <w:sz w:val="18"/>
          <w:szCs w:val="18"/>
          <w:color w:val="auto"/>
        </w:rPr>
        <w:t>The unaudited pro forma condensed consolidated financial information for the Company was derived from, and should be read in conjunction with:</w:t>
      </w:r>
    </w:p>
    <w:p>
      <w:pPr>
        <w:spacing w:after="0" w:line="140"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 accompanying notes to the unaudited condensed pro forma financial information, and</w:t>
      </w:r>
    </w:p>
    <w:p>
      <w:pPr>
        <w:spacing w:after="0" w:line="210" w:lineRule="exact"/>
        <w:rPr>
          <w:rFonts w:ascii="Times New Roman" w:cs="Times New Roman" w:eastAsia="Times New Roman" w:hAnsi="Times New Roman"/>
          <w:sz w:val="18"/>
          <w:szCs w:val="18"/>
          <w:color w:val="auto"/>
        </w:rPr>
      </w:pPr>
    </w:p>
    <w:p>
      <w:pPr>
        <w:ind w:left="760" w:hanging="378"/>
        <w:spacing w:after="0" w:line="252"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 separate consolidated financial statements and the accompanying notes of the Company as of, and for the years ended, December 31, 2023 and 2022, as contained in the Company’s Annual Report on Form 10-K for the year ended December 31, 2023, filed with the Securities and Exchange Commission (the “Commission”) on March 13, 2024.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jc w:val="both"/>
        <w:ind w:right="240" w:firstLine="764"/>
        <w:spacing w:after="0" w:line="244" w:lineRule="auto"/>
        <w:rPr>
          <w:sz w:val="20"/>
          <w:szCs w:val="20"/>
          <w:color w:val="auto"/>
        </w:rPr>
      </w:pPr>
      <w:r>
        <w:rPr>
          <w:rFonts w:ascii="Arial" w:cs="Arial" w:eastAsia="Arial" w:hAnsi="Arial"/>
          <w:sz w:val="18"/>
          <w:szCs w:val="18"/>
          <w:color w:val="auto"/>
        </w:rPr>
        <w:t>The unaudited pro forma condensed financial information has been adjusted to give effect to pro forma events that are directly attributable to the Ecommerce Wind-Down and factually supportable. The unaudited pro forma condensed financial information has been prepared in accordance with Article 11 of Regulation S-X as amended by the final rule, Release No. 33-10786 “Amendments to Financial Disclosures about Acquired and Disposed Businesses." The pro forma adjustments are described in the notes to the unaudited pro forma condensed financial information and are based upon available information and assumptions that the Company believes are reasonable.</w:t>
      </w:r>
    </w:p>
    <w:p>
      <w:pPr>
        <w:spacing w:after="0" w:line="163" w:lineRule="exact"/>
        <w:rPr>
          <w:sz w:val="20"/>
          <w:szCs w:val="20"/>
          <w:color w:val="auto"/>
        </w:rPr>
      </w:pPr>
    </w:p>
    <w:p>
      <w:pPr>
        <w:ind w:firstLine="764"/>
        <w:spacing w:after="0" w:line="242" w:lineRule="auto"/>
        <w:rPr>
          <w:sz w:val="20"/>
          <w:szCs w:val="20"/>
          <w:color w:val="auto"/>
        </w:rPr>
      </w:pPr>
      <w:r>
        <w:rPr>
          <w:rFonts w:ascii="Arial" w:cs="Arial" w:eastAsia="Arial" w:hAnsi="Arial"/>
          <w:sz w:val="18"/>
          <w:szCs w:val="18"/>
          <w:color w:val="auto"/>
        </w:rPr>
        <w:t>The unaudited pro forma condensed consolidated financial information is provided for informational purposes only and does not purport to represent the Company’s actual financial condition or results of operations had the Ecommerce Wind-Down occurred on the dates indicated nor does it project the Company’s results of operations or financial condition for any future period or date. The Company has prepared the unaudited pro forma financial information based on available information using certain assumptions that it believes are reasonable. As a result, the actual results reported by the Company in periods following the Ecommerce Wind-Down may differ materially from this unaudited pro forma financial information</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As of December 31, 2023</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Historical</w:t>
            </w:r>
          </w:p>
        </w:tc>
        <w:tc>
          <w:tcPr>
            <w:tcW w:w="120" w:type="dxa"/>
            <w:vAlign w:val="bottom"/>
          </w:tcPr>
          <w:p>
            <w:pPr>
              <w:spacing w:after="0"/>
              <w:rPr>
                <w:sz w:val="24"/>
                <w:szCs w:val="2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6"/>
                <w:szCs w:val="16"/>
                <w:color w:val="auto"/>
              </w:rPr>
              <w:t>Adjustments</w:t>
            </w:r>
          </w:p>
        </w:tc>
        <w:tc>
          <w:tcPr>
            <w:tcW w:w="580" w:type="dxa"/>
            <w:vAlign w:val="bottom"/>
          </w:tcPr>
          <w:p>
            <w:pPr>
              <w:jc w:val="center"/>
              <w:spacing w:after="0"/>
              <w:rPr>
                <w:sz w:val="20"/>
                <w:szCs w:val="20"/>
                <w:color w:val="auto"/>
              </w:rPr>
            </w:pPr>
            <w:r>
              <w:rPr>
                <w:rFonts w:ascii="Arial" w:cs="Arial" w:eastAsia="Arial" w:hAnsi="Arial"/>
                <w:sz w:val="16"/>
                <w:szCs w:val="16"/>
                <w:color w:val="auto"/>
              </w:rPr>
              <w:t>Notes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Pro Forma</w:t>
            </w:r>
          </w:p>
        </w:tc>
        <w:tc>
          <w:tcPr>
            <w:tcW w:w="0" w:type="dxa"/>
            <w:vAlign w:val="bottom"/>
          </w:tcPr>
          <w:p>
            <w:pPr>
              <w:spacing w:after="0"/>
              <w:rPr>
                <w:sz w:val="1"/>
                <w:szCs w:val="1"/>
                <w:color w:val="auto"/>
              </w:rPr>
            </w:pPr>
          </w:p>
        </w:tc>
      </w:tr>
      <w:tr>
        <w:trPr>
          <w:trHeight w:val="211"/>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135,585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Restricted cash (including restricted cash of consolidated VIEs of $49.1 million)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73,234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(4,413 )</w:t>
            </w: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a</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20"/>
              <w:spacing w:after="0"/>
              <w:rPr>
                <w:sz w:val="20"/>
                <w:szCs w:val="20"/>
                <w:color w:val="auto"/>
              </w:rPr>
            </w:pPr>
            <w:r>
              <w:rPr>
                <w:rFonts w:ascii="Arial" w:cs="Arial" w:eastAsia="Arial" w:hAnsi="Arial"/>
                <w:sz w:val="16"/>
                <w:szCs w:val="16"/>
                <w:color w:val="auto"/>
              </w:rPr>
              <w:t>Finance receivables at fair value (including finance receivables of consolidated VIEs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of $11.8 million)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receivables held for sale, net (including finance receivables of consolidated</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VIEs of $457.2 million)</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503,546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503,546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163,250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(163,250 )</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9"/>
              </w:rPr>
              <w:t>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Beneficial interests in securitizations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 (including other current assets of</w:t>
            </w:r>
          </w:p>
        </w:tc>
        <w:tc>
          <w:tcPr>
            <w:tcW w:w="1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50,899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(8,818 )</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42,081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consolidated VIEs of $25.2 million)</w:t>
            </w:r>
          </w:p>
        </w:tc>
        <w:tc>
          <w:tcPr>
            <w:tcW w:w="1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9"/>
              </w:rPr>
              <w:t>a</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952,639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(176,481 )</w:t>
            </w: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20"/>
              <w:spacing w:after="0"/>
              <w:rPr>
                <w:sz w:val="20"/>
                <w:szCs w:val="20"/>
                <w:color w:val="auto"/>
              </w:rPr>
            </w:pPr>
            <w:r>
              <w:rPr>
                <w:rFonts w:ascii="Arial" w:cs="Arial" w:eastAsia="Arial" w:hAnsi="Arial"/>
                <w:sz w:val="16"/>
                <w:szCs w:val="16"/>
                <w:color w:val="auto"/>
              </w:rPr>
              <w:t>Finance receivables at fair value (including finance receivables of consolidated VIEs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of $329.6 million)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336,169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336,169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24,132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(19,150 )</w:t>
            </w: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a</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131,892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Other assets (including other assets of consolidated VIEs of $1.8 million)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23,527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(897 )</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9"/>
              </w:rPr>
              <w:t>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1,475,422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(196,528 )</w:t>
            </w:r>
          </w:p>
        </w:tc>
        <w:tc>
          <w:tcPr>
            <w:tcW w:w="58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1,278,894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2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5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26,762</w:t>
            </w:r>
          </w:p>
        </w:tc>
        <w:tc>
          <w:tcPr>
            <w:tcW w:w="2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(10,577 )</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9"/>
              </w:rPr>
              <w:t>a</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expenses (including accrued expenses of consolidated VIEs of $4.0 million)</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52,452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(27,906 )</w:t>
            </w: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a</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Vehicle floorplan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151,178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(151,178 )</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9"/>
              </w:rPr>
              <w:t>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Warehouse credit facilities of consolidated VIEs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421,268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20"/>
              <w:spacing w:after="0"/>
              <w:rPr>
                <w:sz w:val="20"/>
                <w:szCs w:val="20"/>
                <w:color w:val="auto"/>
              </w:rPr>
            </w:pPr>
            <w:r>
              <w:rPr>
                <w:rFonts w:ascii="Arial" w:cs="Arial" w:eastAsia="Arial" w:hAnsi="Arial"/>
                <w:sz w:val="16"/>
                <w:szCs w:val="16"/>
                <w:color w:val="auto"/>
              </w:rPr>
              <w:t>Current portion of long-term debt (including current portion of securitization debt of</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consolidated VIEs at fair value of $163.5 million)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172,410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(14,025 )</w:t>
            </w: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a</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(6,105 )</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9"/>
              </w:rPr>
              <w:t>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current liabilities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(7,266 )</w:t>
            </w: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a</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856,806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(217,057 )</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639,749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 net of current portion (including securitization debt of consolidated</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VIEs of $150.6 million)</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454,173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454,173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25,183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(17,356 )</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9"/>
              </w:rPr>
              <w:t>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long-term liabilities (including other long-term liabilities of consolidated VIEs of</w:t>
            </w:r>
          </w:p>
        </w:tc>
        <w:tc>
          <w:tcPr>
            <w:tcW w:w="18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17,109</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17,109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$10.4 million)</w:t>
            </w: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1,353,271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(234,413 )</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1,118,858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 $0.001 par value; 500,000,000 shares authorized as of December</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31, 2023; 1,791,286 shares issued and outstanding as of December 31, 2023</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2,088,381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2,088,381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(1,966,232 )</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37,885</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rPr>
              <w:t>b</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(1,928,347 )</w:t>
            </w:r>
          </w:p>
        </w:tc>
        <w:tc>
          <w:tcPr>
            <w:tcW w:w="0" w:type="dxa"/>
            <w:vAlign w:val="bottom"/>
          </w:tcPr>
          <w:p>
            <w:pPr>
              <w:spacing w:after="0"/>
              <w:rPr>
                <w:sz w:val="1"/>
                <w:szCs w:val="1"/>
                <w:color w:val="auto"/>
              </w:rPr>
            </w:pPr>
          </w:p>
        </w:tc>
      </w:tr>
      <w:tr>
        <w:trPr>
          <w:trHeight w:val="209"/>
        </w:trPr>
        <w:tc>
          <w:tcPr>
            <w:tcW w:w="63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122,151</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37,885</w:t>
            </w:r>
          </w:p>
        </w:tc>
        <w:tc>
          <w:tcPr>
            <w:tcW w:w="240" w:type="dxa"/>
            <w:vAlign w:val="bottom"/>
            <w:tcBorders>
              <w:top w:val="single" w:sz="8" w:color="CFF0FC"/>
            </w:tcBorders>
          </w:tcPr>
          <w:p>
            <w:pPr>
              <w:spacing w:after="0"/>
              <w:rPr>
                <w:sz w:val="18"/>
                <w:szCs w:val="18"/>
                <w:color w:val="auto"/>
              </w:rPr>
            </w:pPr>
          </w:p>
        </w:tc>
        <w:tc>
          <w:tcPr>
            <w:tcW w:w="5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160,036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1,475,422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(196,528 )</w:t>
            </w:r>
          </w:p>
        </w:tc>
        <w:tc>
          <w:tcPr>
            <w:tcW w:w="5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1,278,894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-3582670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-3565525</wp:posOffset>
            </wp:positionV>
            <wp:extent cx="768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-3582670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-3565525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-2065020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-2065020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-1276350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-316865</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-316865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color w:val="auto"/>
              </w:rPr>
              <w:t>Year ended December 31, 2023</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Historical</w:t>
            </w:r>
          </w:p>
        </w:tc>
        <w:tc>
          <w:tcPr>
            <w:tcW w:w="12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Adjustments</w:t>
            </w:r>
          </w:p>
        </w:tc>
        <w:tc>
          <w:tcPr>
            <w:tcW w:w="540" w:type="dxa"/>
            <w:vAlign w:val="bottom"/>
          </w:tcPr>
          <w:p>
            <w:pPr>
              <w:jc w:val="center"/>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Pro Forma</w:t>
            </w: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Retail vehicle,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565,972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(565,972 )</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vehicle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104,119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(104,119 )</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Product,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52,253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(16,536 )</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156,938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(588 )</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893,203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(687,215 )</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205,988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vehicle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553,565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(553,565 )</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138,472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(138,472 )</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Finance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31,328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4,554</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Arial" w:cs="Arial" w:eastAsia="Arial" w:hAnsi="Arial"/>
                <w:sz w:val="18"/>
                <w:szCs w:val="18"/>
                <w:color w:val="auto"/>
              </w:rPr>
              <w:t>Total cost of sales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731,256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(692,037 )</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gross profit</w:t>
            </w: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161,947</w:t>
            </w: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4,822</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340,657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(197,307 )</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rPr>
              <w:t>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42,769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(13,656 )</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rPr>
              <w:t>d</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48,748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(48,748 )</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99"/>
              </w:rPr>
              <w:t>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from operations</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(270,227 )</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264,533</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(5,694 )</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(37,878 )</w:t>
            </w: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(37,878 )</w:t>
            </w: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45,445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(19,556 )</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f</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(21,158 )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13,218</w:t>
            </w:r>
          </w:p>
        </w:tc>
        <w:tc>
          <w:tcPr>
            <w:tcW w:w="2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99"/>
              </w:rPr>
              <w:t>f</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(7,940 )</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loss, net</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108,289</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108,289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(364,925 )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270,871</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(94,054 )</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b w:val="1"/>
                <w:bCs w:val="1"/>
                <w:color w:val="auto"/>
              </w:rPr>
              <w:t>g</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(365,540 )</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270,871</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(94,669 )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(209.70 )</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(54.31 )</w:t>
            </w:r>
          </w:p>
        </w:tc>
        <w:tc>
          <w:tcPr>
            <w:tcW w:w="0" w:type="dxa"/>
            <w:vAlign w:val="bottom"/>
          </w:tcPr>
          <w:p>
            <w:pPr>
              <w:spacing w:after="0"/>
              <w:rPr>
                <w:sz w:val="1"/>
                <w:szCs w:val="1"/>
                <w:color w:val="auto"/>
              </w:rPr>
            </w:pPr>
          </w:p>
        </w:tc>
      </w:tr>
      <w:tr>
        <w:trPr>
          <w:trHeight w:val="191"/>
        </w:trPr>
        <w:tc>
          <w:tcPr>
            <w:tcW w:w="6200" w:type="dxa"/>
            <w:vAlign w:val="bottom"/>
            <w:tcBorders>
              <w:top w:val="single" w:sz="8" w:color="CFF0FC"/>
            </w:tcBorders>
          </w:tcPr>
          <w:p>
            <w:pPr>
              <w:ind w:left="20"/>
              <w:spacing w:after="0" w:line="191" w:lineRule="exact"/>
              <w:rPr>
                <w:sz w:val="20"/>
                <w:szCs w:val="20"/>
                <w:color w:val="auto"/>
              </w:rPr>
            </w:pPr>
            <w:r>
              <w:rPr>
                <w:rFonts w:ascii="Arial" w:cs="Arial" w:eastAsia="Arial" w:hAnsi="Arial"/>
                <w:sz w:val="18"/>
                <w:szCs w:val="18"/>
                <w:color w:val="auto"/>
              </w:rPr>
              <w:t>Weighted-average number of shares outstanding used to compute net loss</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1,743,128</w:t>
            </w: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5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1,743,128</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00" w:type="dxa"/>
            <w:vAlign w:val="bottom"/>
          </w:tcPr>
          <w:p>
            <w:pPr>
              <w:ind w:left="20"/>
              <w:spacing w:after="0" w:line="195" w:lineRule="exact"/>
              <w:rPr>
                <w:sz w:val="20"/>
                <w:szCs w:val="20"/>
                <w:color w:val="auto"/>
              </w:rPr>
            </w:pPr>
            <w:r>
              <w:rPr>
                <w:rFonts w:ascii="Arial" w:cs="Arial" w:eastAsia="Arial" w:hAnsi="Arial"/>
                <w:sz w:val="18"/>
                <w:szCs w:val="18"/>
                <w:color w:val="auto"/>
              </w:rPr>
              <w:t>per share attributable to common stockholders, basic and diluted</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558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6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6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-3385185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-3385185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-1928495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-1928495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-1636395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-1636395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-1328420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-1328420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Year ended December 31, 2022</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Historical</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Adjustments</w:t>
            </w:r>
          </w:p>
        </w:tc>
        <w:tc>
          <w:tcPr>
            <w:tcW w:w="500" w:type="dxa"/>
            <w:vAlign w:val="bottom"/>
          </w:tcPr>
          <w:p>
            <w:pPr>
              <w:jc w:val="center"/>
              <w:spacing w:after="0"/>
              <w:rPr>
                <w:sz w:val="20"/>
                <w:szCs w:val="20"/>
                <w:color w:val="auto"/>
              </w:rPr>
            </w:pPr>
            <w:r>
              <w:rPr>
                <w:rFonts w:ascii="Arial" w:cs="Arial" w:eastAsia="Arial" w:hAnsi="Arial"/>
                <w:sz w:val="18"/>
                <w:szCs w:val="18"/>
                <w:color w:val="auto"/>
                <w:w w:val="97"/>
              </w:rPr>
              <w:t>Notes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Pro Forma</w:t>
            </w: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Retail vehicle,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1,425,842</w:t>
            </w:r>
          </w:p>
        </w:tc>
        <w:tc>
          <w:tcPr>
            <w:tcW w:w="24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(1,425,842 )</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vehicle</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293,528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(293,528 )</w:t>
            </w:r>
          </w:p>
        </w:tc>
        <w:tc>
          <w:tcPr>
            <w:tcW w:w="50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Product, net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62,747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(54,061 )</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152,542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(839 )</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1,948,901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(1,774,270 )</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174,631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vehicle</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1,382,005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(1,382,005 )</w:t>
            </w:r>
          </w:p>
        </w:tc>
        <w:tc>
          <w:tcPr>
            <w:tcW w:w="50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304,148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(304,148 )</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(187 )</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cost of sales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1,704,114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(1,686,340 )</w:t>
            </w: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244,787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(87,930 )</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566,387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(421,029 )</w:t>
            </w:r>
          </w:p>
        </w:tc>
        <w:tc>
          <w:tcPr>
            <w:tcW w:w="50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0"/>
              </w:rPr>
              <w:t>d</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38,290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(11,220 )</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0"/>
              </w:rPr>
              <w:t>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 charges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211,873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(211,873 )</w:t>
            </w:r>
          </w:p>
        </w:tc>
        <w:tc>
          <w:tcPr>
            <w:tcW w:w="50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e</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(571,763 )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556,192</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(15,571 )</w:t>
            </w: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debt extinguishment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(164,684 )</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(164,684 )</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40,693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(26,831 )</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9"/>
              </w:rPr>
              <w:t>f</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(19,363 )</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15,934</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f</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(3,429 )</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 loss, net</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benefit for income taxes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(471,590 )</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567,089</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(19,680 )</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0"/>
              </w:rPr>
              <w:t>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(19,680 )</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(451,910 )</w:t>
            </w:r>
          </w:p>
        </w:tc>
        <w:tc>
          <w:tcPr>
            <w:tcW w:w="240" w:type="dxa"/>
            <w:vAlign w:val="bottom"/>
            <w:shd w:val="clear" w:color="auto" w:fill="CFF0FC"/>
          </w:tcPr>
          <w:p>
            <w:pPr>
              <w:jc w:val="right"/>
              <w:ind w:right="36"/>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567,089</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115,179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6580" w:type="dxa"/>
            <w:vAlign w:val="bottom"/>
            <w:tcBorders>
              <w:top w:val="single" w:sz="8" w:color="CFF0FC"/>
            </w:tcBorders>
          </w:tcPr>
          <w:p>
            <w:pPr>
              <w:ind w:left="20"/>
              <w:spacing w:after="0" w:line="177" w:lineRule="exact"/>
              <w:rPr>
                <w:sz w:val="20"/>
                <w:szCs w:val="20"/>
                <w:color w:val="auto"/>
              </w:rPr>
            </w:pPr>
            <w:r>
              <w:rPr>
                <w:rFonts w:ascii="Arial" w:cs="Arial" w:eastAsia="Arial" w:hAnsi="Arial"/>
                <w:sz w:val="18"/>
                <w:szCs w:val="18"/>
                <w:color w:val="auto"/>
              </w:rPr>
              <w:t>Net (loss) income per share attributable to common stockholders, basic and</w:t>
            </w: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5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580" w:type="dxa"/>
            <w:vAlign w:val="bottom"/>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(262.15 )</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58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Weighted-average number of shares outstanding used to compute net (loss)</w:t>
            </w: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1,723,843.00</w:t>
            </w:r>
          </w:p>
        </w:tc>
        <w:tc>
          <w:tcPr>
            <w:tcW w:w="24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spacing w:after="0"/>
              <w:rPr>
                <w:sz w:val="16"/>
                <w:szCs w:val="16"/>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1,723,843.00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8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income per share attributable to common stockholders, basic and diluted</w:t>
            </w: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862"/>
        </w:trPr>
        <w:tc>
          <w:tcPr>
            <w:tcW w:w="6580" w:type="dxa"/>
            <w:vAlign w:val="bottom"/>
          </w:tcPr>
          <w:p>
            <w:pPr>
              <w:ind w:left="55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6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-3368040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-3368040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-2785110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-2785110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-1619250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-1602105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-1619250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-1602105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-1071245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-1053465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-1071245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-1053465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Adjustments</w:t>
      </w:r>
    </w:p>
    <w:p>
      <w:pPr>
        <w:spacing w:after="0" w:line="198" w:lineRule="exact"/>
        <w:rPr>
          <w:sz w:val="20"/>
          <w:szCs w:val="20"/>
          <w:color w:val="auto"/>
        </w:rPr>
      </w:pPr>
    </w:p>
    <w:p>
      <w:pPr>
        <w:ind w:right="380" w:firstLine="764"/>
        <w:spacing w:after="0" w:line="271" w:lineRule="auto"/>
        <w:rPr>
          <w:sz w:val="20"/>
          <w:szCs w:val="20"/>
          <w:color w:val="auto"/>
        </w:rPr>
      </w:pPr>
      <w:r>
        <w:rPr>
          <w:rFonts w:ascii="Arial" w:cs="Arial" w:eastAsia="Arial" w:hAnsi="Arial"/>
          <w:sz w:val="18"/>
          <w:szCs w:val="18"/>
          <w:color w:val="auto"/>
        </w:rPr>
        <w:t>The following pro forma adjustments were made in the “Adjustments” column of the unaudited consolidated pro forma financial information:</w:t>
      </w:r>
    </w:p>
    <w:p>
      <w:pPr>
        <w:spacing w:after="0" w:line="248" w:lineRule="exact"/>
        <w:rPr>
          <w:sz w:val="20"/>
          <w:szCs w:val="20"/>
          <w:color w:val="auto"/>
        </w:rPr>
      </w:pPr>
    </w:p>
    <w:p>
      <w:pPr>
        <w:ind w:left="1020" w:right="20" w:hanging="503"/>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adjustments eliminate assets and liabilities attributed to the Company's ecommerce operations and used vehicle dealership business as a result of the Company's previously-announced wind-down.</w:t>
      </w:r>
    </w:p>
    <w:p>
      <w:pPr>
        <w:spacing w:after="0" w:line="45" w:lineRule="exact"/>
        <w:rPr>
          <w:rFonts w:ascii="Arial" w:cs="Arial" w:eastAsia="Arial" w:hAnsi="Arial"/>
          <w:sz w:val="18"/>
          <w:szCs w:val="18"/>
          <w:color w:val="auto"/>
        </w:rPr>
      </w:pPr>
    </w:p>
    <w:p>
      <w:pPr>
        <w:ind w:left="1020" w:right="300" w:hanging="503"/>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adjustment reflects disposing of the net assets from the Company's ecommerce operations and used vehicle dealership business.</w:t>
      </w:r>
    </w:p>
    <w:p>
      <w:pPr>
        <w:spacing w:after="0" w:line="45"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adjustments eliminate the revenue and cost of sales attributable to the Company's ecommerce operations and used vehicle dealership business.</w:t>
      </w:r>
    </w:p>
    <w:p>
      <w:pPr>
        <w:spacing w:after="0" w:line="45" w:lineRule="exact"/>
        <w:rPr>
          <w:rFonts w:ascii="Arial" w:cs="Arial" w:eastAsia="Arial" w:hAnsi="Arial"/>
          <w:sz w:val="18"/>
          <w:szCs w:val="18"/>
          <w:color w:val="auto"/>
        </w:rPr>
      </w:pPr>
    </w:p>
    <w:p>
      <w:pPr>
        <w:ind w:left="1020" w:right="60" w:hanging="503"/>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adjustments eliminate operating expenses directly related to the Company's ecommerce operations and used vehicle dealership business, including compensation and benefit expenses, marketing expenses, outbound logistics costs, professional fees, software and IT costs, and depreciation expense.</w:t>
      </w:r>
    </w:p>
    <w:p>
      <w:pPr>
        <w:spacing w:after="0" w:line="60" w:lineRule="exact"/>
        <w:rPr>
          <w:rFonts w:ascii="Arial" w:cs="Arial" w:eastAsia="Arial" w:hAnsi="Arial"/>
          <w:sz w:val="18"/>
          <w:szCs w:val="18"/>
          <w:color w:val="auto"/>
        </w:rPr>
      </w:pPr>
    </w:p>
    <w:p>
      <w:pPr>
        <w:ind w:left="1020" w:right="140" w:hanging="503"/>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adjustments eliminate impairment charges of $48.7 million for the year ended December 31, 2023, which primarily consist of long–lived asset impairment charges as a result of a triggering event as of December 31, 2023 and impairment charges of $211.9 million for the year ended December 31, 2022, which primarily consist of a charge to write down the carrying amount of the goodwill to fair value.</w:t>
      </w:r>
    </w:p>
    <w:p>
      <w:pPr>
        <w:spacing w:after="0" w:line="65" w:lineRule="exact"/>
        <w:rPr>
          <w:rFonts w:ascii="Arial" w:cs="Arial" w:eastAsia="Arial" w:hAnsi="Arial"/>
          <w:sz w:val="18"/>
          <w:szCs w:val="18"/>
          <w:color w:val="auto"/>
        </w:rPr>
      </w:pPr>
    </w:p>
    <w:p>
      <w:pPr>
        <w:ind w:left="1020" w:right="280" w:hanging="503"/>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adjustments eliminate non-operating expenses, primarily interest expense and interest income related to the Company's 2022 Vehicle Floorplan Facility, which was repaid in full in February 2024.</w:t>
      </w:r>
    </w:p>
    <w:p>
      <w:pPr>
        <w:spacing w:after="0" w:line="45" w:lineRule="exact"/>
        <w:rPr>
          <w:rFonts w:ascii="Arial" w:cs="Arial" w:eastAsia="Arial" w:hAnsi="Arial"/>
          <w:sz w:val="18"/>
          <w:szCs w:val="18"/>
          <w:color w:val="auto"/>
        </w:rPr>
      </w:pPr>
    </w:p>
    <w:p>
      <w:pPr>
        <w:ind w:left="1020" w:right="80" w:hanging="503"/>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is no adjustment to tax expense (benefit) for the effects of the pro forma adjustments of the wind-down of the Company's ecommerce operations and used vehicle dealership business, due to the history of losses for the years ended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2024-04-04T15:19:38Z</dcterms:created>
  <dcterms:modified xsi:type="dcterms:W3CDTF">2024-04-04T15:19:38Z</dcterms:modified>
</cp:coreProperties>
</file>